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2.001711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902/QĐ-BXD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lại phương tiện trong trường hợp phương tiện thay đổi tên, tính năng kỹ thuật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Tổ chức, cá nhân nộp hồ sơ đề nghị đến cơ quan đăng ký phương tiện:
- Sở Xây dựng:
+ Thực hiện đăng ký phương tiện mang cấp VR-SB, phương tiện không có động cơ trọng tải toàn phần trên 15 tấn, phương tiện có động cơ tổng công suất máy chính trên 15 sức ngựa, phương tiện có sức chở trên 12 người của tổ chức, cá nhân có trụ sở hoặc nơi đăng ký hộ khẩu thường trú tại tỉnh, thành phố trực thuộc Trung ương đó.
+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
- Ủy ban nhân dân cấp xã: Thực hiện đăng ký phương tiện không có động cơ trọng tải toàn phần từ 01 tấn đến 15 tấn hoặc có sức chở từ 05 người đến 12 người, phương tiện có động cơ tổng công suất máy chính đến 15 sức ngựa hoặc có sức chở đến 12 người của tổ chức, cá nhân có trụ sở hoặc nơi đăng ký hộ khẩu thường trú tại địa bàn quản lý;</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Cơ quan đăng ký phương tiện tiếp nhận, kiểm tra hồ sơ và xử lý như sau:
- Trường hợp hồ sơ nộp trực tiếp, nếu hồ sơ đầy đủ thì cấp giấy biên nhận hồ sơ và hẹn trả kết quả theo thời hạn quy định; nếu hồ sơ không đầy đủ theo quy định thì trả lại và hướng dẫn tổ chức, cá nhân hoàn thiện lại hồ sơ;
- Trường hợp hồ sơ nhận qua hệ thống bưu chính hoặc qua hệ thống dịch vụ công trực tuyến, trong thời hạn 02 (hai) ngày làm việc kể từ ngày nhận được hồ sơ, cơ quan đăng ký phương tiện thực hiện kiểm tra thành phần hồ sơ; nếu hồ sơ đầy đủ theo quy định thì tiếp nhận hồ sơ và thông báo thời hạn trả kết quả, nếu hồ sơ không đầy đủ theo quy định thì có văn bản gửi tổ chức, cá nhân hoàn thiện hồ sơ;
- Trong thời hạn 02 (hai) ngày làm việc, kể từ ngày nhận đủ hồ sơ theo quy định và tổ chức, cá nhân đã hoàn thành nghĩa vụ tài chính (nếu có), cơ quan đăng ký cấp giấy chứng nhận và gửi trực tiếp hoặc qua dịch vụ bưu chính hoặc qua hệ thống dịch vụ công trực tuyến cho chủ phương tiện. Trường hợp không cấp phải có văn bản trả lời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 Ngày làm việc</w:t>
            </w:r>
          </w:p>
        </w:tc>
        <w:tc>
          <w:p/>
          <w:p>
            <w:pPr>
              <w:spacing w:after="0" w:before="0" w:lineRule="auto" w:line="276"/>
              <w:jc w:val="left"/>
            </w:pPr>
            <w:r>
              <w:rPr>
                <w:rFonts w:ascii="Times New Roman" w:hAnsi="Times New Roman" w:cs="Times New Roman" w:eastAsia="Times New Roman"/>
                <w:b w:val="false"/>
                <w:sz w:val="26"/>
              </w:rPr>
              <w:t>Lệ phí : 70000 Đồng</w:t>
              <w:t xml:space="preserve"> (70.000 đồng/Giấy chứng nhận)</w:t>
            </w:r>
          </w:p>
        </w:tc>
        <w:tc>
          <w:p/>
          <w:p>
            <w:pPr>
              <w:spacing w:after="0" w:before="0" w:lineRule="auto" w:line="276"/>
              <w:jc w:val="left"/>
            </w:pPr>
            <w:r>
              <w:rPr>
                <w:rFonts w:ascii="Times New Roman" w:hAnsi="Times New Roman" w:cs="Times New Roman" w:eastAsia="Times New Roman"/>
                <w:b w:val="false"/>
                <w:sz w:val="26"/>
              </w:rPr>
              <w:t>02 (hai) ngày làm việc, kể từ ngày nhận đủ hồ sơ theo quy định và tổ chức, cá nhân đã hoàn thành nghĩa vụ tài chính (nếu có)</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Đối với phương tiện đăng ký lại do thay đổi tính năng kỹ thuật: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phải nộp để lưu giữ tại cơ quan đăng ký phương tiện: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đăng ký lại phương tiện thủy nội địa theo quy định;</w:t>
            </w:r>
          </w:p>
        </w:tc>
        <w:tc>
          <w:p/>
          <w:p>
            <w:pPr>
              <w:spacing w:after="0" w:before="0" w:lineRule="auto" w:line="276"/>
              <w:jc w:val="left"/>
            </w:pPr>
            <w:r>
              <w:rPr>
                <w:rFonts w:ascii="Times New Roman" w:hAnsi="Times New Roman" w:cs="Times New Roman" w:eastAsia="Times New Roman"/>
                <w:b w:val="false"/>
                <w:sz w:val="26"/>
              </w:rPr>
              <w:t>Mauon.docx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Biên lai nộp lệ phí trước bạ (bản chính hoặc bản sao có chứng thực hoặc bản sao điện tử được chứng thực từ bản chính hoặc bản sao điện tử được cấp từ sổ gốc) đối với phương tiện thuộc diện phải nộp lệ phí trước bạ;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khai điều kiện an toàn của phương tiện thủy nội địa theo quy định đối với phương tiện không thuộc diện đăng kiểm.</w:t>
            </w:r>
          </w:p>
        </w:tc>
        <w:tc>
          <w:p/>
          <w:p>
            <w:pPr>
              <w:spacing w:after="0" w:before="0" w:lineRule="auto" w:line="276"/>
              <w:jc w:val="left"/>
            </w:pPr>
            <w:r>
              <w:rPr>
                <w:rFonts w:ascii="Times New Roman" w:hAnsi="Times New Roman" w:cs="Times New Roman" w:eastAsia="Times New Roman"/>
                <w:b w:val="false"/>
                <w:sz w:val="26"/>
              </w:rPr>
              <w:t>MauBankekhai.docx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Xuất trình hoặc gửi bản chính hoặc bản sao có chứng thực hoặc bản sao điện tử được chứng thực từ bản chính hoặc bản sao điện tử được cấp từ sổ gốc: Giấy chứng nhận an toàn kỹ thuật và bảo vệ môi trường của phương tiện được cấp còn hiệu lực sau khi phương tiện đã thay đổi tính năng kỹ thuật đối với phương tiện thuộc diện đăng kiểm để cơ quan đăng ký phương tiện kiểm tra.</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Xây dựng, Uỷ ban Nhân dân cấp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75/2014/TT-BGTVT</w:t>
            </w:r>
          </w:p>
        </w:tc>
        <w:tc>
          <w:p/>
          <w:p>
            <w:pPr>
              <w:spacing w:after="0" w:before="0" w:lineRule="auto" w:line="276"/>
              <w:jc w:val="left"/>
            </w:pPr>
            <w:r>
              <w:rPr>
                <w:rFonts w:ascii="Times New Roman" w:hAnsi="Times New Roman" w:cs="Times New Roman" w:eastAsia="Times New Roman"/>
                <w:b w:val="false"/>
                <w:sz w:val="26"/>
              </w:rPr>
              <w:t>Quy định về đăng ký phương tiện thủy nội địa</w:t>
            </w:r>
          </w:p>
        </w:tc>
        <w:tc>
          <w:p/>
          <w:p>
            <w:pPr>
              <w:spacing w:after="0" w:before="0" w:lineRule="auto" w:line="276"/>
              <w:jc w:val="left"/>
            </w:pPr>
            <w:r>
              <w:rPr>
                <w:rFonts w:ascii="Times New Roman" w:hAnsi="Times New Roman" w:cs="Times New Roman" w:eastAsia="Times New Roman"/>
                <w:b w:val="false"/>
                <w:sz w:val="26"/>
              </w:rPr>
              <w:t>19-12-2014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198/2016/TT-BTC</w:t>
            </w:r>
          </w:p>
        </w:tc>
        <w:tc>
          <w:p/>
          <w:p>
            <w:pPr>
              <w:spacing w:after="0" w:before="0" w:lineRule="auto" w:line="276"/>
              <w:jc w:val="left"/>
            </w:pPr>
            <w:r>
              <w:rPr>
                <w:rFonts w:ascii="Times New Roman" w:hAnsi="Times New Roman" w:cs="Times New Roman" w:eastAsia="Times New Roman"/>
                <w:b w:val="false"/>
                <w:sz w:val="26"/>
              </w:rPr>
              <w:t>Thông tư 198/2016/TT-BTC quy định mức thu, chế độ thu, nộp, quản lý và sử dụng phí, lệ phí trong lĩnh vực đường thủy nội địa và đường sắt</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60/2024/TT-BGTVT</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Thông tư quy định về đăng ký phương tiện thủy nội địa và quy định thi, kiểm tra, cấp, cấp lại, chuyển đổi giấy chứng nhận khả năng chuyên môn, chứng chỉ chuyên môn thuyền viên, người lái phương tiện thủy nội địa</w:t>
            </w:r>
          </w:p>
        </w:tc>
        <w:tc>
          <w:p/>
          <w:p>
            <w:pPr>
              <w:spacing w:after="0" w:before="0" w:lineRule="auto" w:line="276"/>
              <w:jc w:val="left"/>
            </w:pPr>
            <w:r>
              <w:rPr>
                <w:rFonts w:ascii="Times New Roman" w:hAnsi="Times New Roman" w:cs="Times New Roman" w:eastAsia="Times New Roman"/>
                <w:b w:val="false"/>
                <w:sz w:val="26"/>
              </w:rPr>
              <w:t>17-12-2024</w:t>
            </w:r>
          </w:p>
        </w:tc>
        <w:tc>
          <w:p/>
          <w:p>
            <w:pPr>
              <w:spacing w:after="0" w:before="0" w:lineRule="auto" w:line="276"/>
              <w:jc w:val="left"/>
            </w:pPr>
            <w:r>
              <w:rPr>
                <w:rFonts w:ascii="Times New Roman" w:hAnsi="Times New Roman" w:cs="Times New Roman" w:eastAsia="Times New Roman"/>
                <w:b w:val="false"/>
                <w:sz w:val="26"/>
              </w:rPr>
              <w:t>Bộ Giao thông vận tải</w:t>
            </w:r>
          </w:p>
        </w:tc>
      </w:tr>
      <w:tr>
        <w:tc>
          <w:p/>
          <w:p>
            <w:pPr>
              <w:spacing w:after="0" w:before="0" w:lineRule="auto" w:line="276"/>
              <w:jc w:val="left"/>
            </w:pPr>
            <w:r>
              <w:rPr>
                <w:rFonts w:ascii="Times New Roman" w:hAnsi="Times New Roman" w:cs="Times New Roman" w:eastAsia="Times New Roman"/>
                <w:b w:val="false"/>
                <w:sz w:val="26"/>
              </w:rPr>
              <w:t>09/2025/TT-BXD</w:t>
            </w:r>
          </w:p>
        </w:tc>
        <w:tc>
          <w:p/>
          <w:p>
            <w:pPr>
              <w:spacing w:after="0" w:before="0" w:lineRule="auto" w:line="276"/>
              <w:jc w:val="left"/>
            </w:pPr>
            <w:r>
              <w:rPr>
                <w:rFonts w:ascii="Times New Roman" w:hAnsi="Times New Roman" w:cs="Times New Roman" w:eastAsia="Times New Roman"/>
                <w:b w:val="false"/>
                <w:sz w:val="26"/>
              </w:rPr>
              <w:t>Thông tư sửa đổi, bổ sung một số điều của các Thông tư thuộc lĩnh vực quản lý nhà nước của Bộ Xây dựng liên quan đến sắp xếp tổ chức bộ máy, thực hiện chính quyền địa phương hai cấp và phân cấp cho chính quyền địa phương.</w:t>
            </w:r>
          </w:p>
        </w:tc>
        <w:tc>
          <w:p/>
          <w:p>
            <w:pPr>
              <w:spacing w:after="0" w:before="0" w:lineRule="auto" w:line="276"/>
              <w:jc w:val="left"/>
            </w:pPr>
            <w:r>
              <w:rPr>
                <w:rFonts w:ascii="Times New Roman" w:hAnsi="Times New Roman" w:cs="Times New Roman" w:eastAsia="Times New Roman"/>
                <w:b w:val="false"/>
                <w:sz w:val="26"/>
              </w:rPr>
              <w:t>13-06-2025</w:t>
            </w:r>
          </w:p>
        </w:tc>
        <w:tc>
          <w:p/>
          <w:p>
            <w:pPr>
              <w:spacing w:after="0" w:before="0" w:lineRule="auto" w:line="276"/>
              <w:jc w:val="left"/>
            </w:pPr>
            <w:r>
              <w:rPr>
                <w:rFonts w:ascii="Times New Roman" w:hAnsi="Times New Roman" w:cs="Times New Roman" w:eastAsia="Times New Roman"/>
                <w:b w:val="false"/>
                <w:sz w:val="26"/>
              </w:rPr>
              <w:t>Bộ Xây dựng</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Phương tiện phải được đăng ký lại trong các trường hợp sau:
- Chuyển quyền sở hữu;
- Thay đổi tên, tính năng kỹ thuật;
- Trụ sở hoặc nơi đăng ký thường trú của chủ phương tiện chuyển sang đơn vị hành chính cấp tỉnh khác;
- Chuyển từ cơ quan đăng ký khác sang cơ quan đăng ký phương tiện thủy nội địa.</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2026-05-23T19:28:18Z</dcterms:created>
  <dc:creator>Apache POI</dc:creator>
</cp:coreProperties>
</file>