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1.004022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2303/QĐ-BNNMT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xác nhận nội dung quảng cáo thuốc thú y</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Thú y</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nộp hồ sơ trực tiếp, trực tuyến hoặc gửi qua đường bưu điện đến Cơ quan quản lý chuyên ngành chăn nuôi và thú y cấp tỉnh.</w:t>
      </w:r>
    </w:p>
    <w:p>
      <w:pPr>
        <w:spacing w:after="0" w:before="0" w:lineRule="auto" w:line="276"/>
        <w:jc w:val="both"/>
      </w:pPr>
      <w:r>
        <w:rPr>
          <w:rFonts w:ascii="Times New Roman" w:hAnsi="Times New Roman" w:cs="Times New Roman" w:eastAsia="Times New Roman"/>
          <w:b w:val="false"/>
          <w:sz w:val="26"/>
        </w:rPr>
        <w:t>Bước 2: Cơ quan quản lý chuyên ngành chăn nuôi và thú y cấp tỉnh trả lời ngay tính đầy đủ của hồ sơ đối với trường hợp nộp trực tiếp; trả lời tính đầy đủ của hồ sơ trong 01 ngày làm việc đối với trường hợp nộp hồ sơ qua môi trường mạng hoặc qua dịch vụ bưu chính bằng văn bản; 
Trong thời hạn 05 ngày làm việc kể từ khi nhận đầy đủ hồ sơ hợp lệ, Cơ quan quản lý chuyên ngành chăn nuôi và thú y cấp tỉnh cấp Giấy xác nhận nội dung quảng cáo thuốc thú y theo mẫu số 10.QLT Phụ lục II ban hành kèm theo Thông tư này. Trường hợp không cấp Giấy xác nhận nội dung quảng cáo cơ quan nhà nước có thẩm quyền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900.000 Đồng</w:t>
              <w:t xml:space="preserve"> (Phí Thẩm định nội dung thông tin quảng cáo thuốc thú y, thuốc thú y thuỷ sản, trang thiết bị, dụng cụ trong thú y: 900.000 đồng/lần)</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900.000 Đồng</w:t>
              <w:t xml:space="preserve"> (Phí Thẩm định nội dung thông tin quảng cáo thuốc thú y, thuốc thú y thuỷ sản, trang thiết bị, dụng cụ trong thú y: 900.000 đồng/lần)</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900.000 Đồng</w:t>
              <w:t xml:space="preserve"> (Phí Thẩm định nội dung thông tin quảng cáo thuốc thú y, thuốc thú y thuỷ sản, trang thiết bị, dụng cụ trong thú y: 900.000 đồng/lần)</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xác nhận nội dung quảng cáo thuốc thú y theo mẫu quy định tại Phụ lục XLII ban hành kèm theo Thông tư 13/2016/TT-BNNPTNT</w:t>
            </w:r>
          </w:p>
        </w:tc>
        <w:tc>
          <w:p/>
          <w:p>
            <w:pPr>
              <w:spacing w:after="0" w:before="0" w:lineRule="auto" w:line="276"/>
              <w:jc w:val="left"/>
            </w:pPr>
            <w:r>
              <w:rPr>
                <w:rFonts w:ascii="Times New Roman" w:hAnsi="Times New Roman" w:cs="Times New Roman" w:eastAsia="Times New Roman"/>
                <w:b w:val="false"/>
                <w:sz w:val="26"/>
              </w:rPr>
              <w:t>09.QLT.docx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Sản phẩm quảng cáo (nội dung, hình thức quảng cáo được thể hiện bằng hình ảnh, âm thanh, tiếng nói, chữ viết, biểu tượng, màu sắc, ánh sáng và các hình thức tương tự);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sách báo cáo viên ghi đầy đủ thông tin về bằng cấp chuyên môn hoặc chức danh khoa học của báo cáo viên đối với trường hợp hội chợ, hội thảo, hội nghị, tổ chức sự kiện, triển lãm, chương trình văn hoá, thể thao (đóng dấu xác nhận của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chụp Giấy chứng nhận lưu hành thuốc thú 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quản lý chuyên ngành thú y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nội dung quảng cáo thuốc thú y.</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13/2016/TT-BNNPTNT	</w:t>
            </w:r>
          </w:p>
        </w:tc>
        <w:tc>
          <w:p/>
          <w:p>
            <w:pPr>
              <w:spacing w:after="0" w:before="0" w:lineRule="auto" w:line="276"/>
              <w:jc w:val="left"/>
            </w:pPr>
            <w:r>
              <w:rPr>
                <w:rFonts w:ascii="Times New Roman" w:hAnsi="Times New Roman" w:cs="Times New Roman" w:eastAsia="Times New Roman"/>
                <w:b w:val="false"/>
                <w:sz w:val="26"/>
              </w:rPr>
              <w:t>Quy định về quản lý thuốc thú y	</w:t>
            </w:r>
          </w:p>
        </w:tc>
        <w:tc>
          <w:p/>
          <w:p>
            <w:pPr>
              <w:spacing w:after="0" w:before="0" w:lineRule="auto" w:line="276"/>
              <w:jc w:val="left"/>
            </w:pPr>
            <w:r>
              <w:rPr>
                <w:rFonts w:ascii="Times New Roman" w:hAnsi="Times New Roman" w:cs="Times New Roman" w:eastAsia="Times New Roman"/>
                <w:b w:val="false"/>
                <w:sz w:val="26"/>
              </w:rPr>
              <w:t>02-06-2016</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r>
        <w:tc>
          <w:p/>
          <w:p>
            <w:pPr>
              <w:spacing w:after="0" w:before="0" w:lineRule="auto" w:line="276"/>
              <w:jc w:val="left"/>
            </w:pPr>
            <w:r>
              <w:rPr>
                <w:rFonts w:ascii="Times New Roman" w:hAnsi="Times New Roman" w:cs="Times New Roman" w:eastAsia="Times New Roman"/>
                <w:b w:val="false"/>
                <w:sz w:val="26"/>
              </w:rPr>
              <w:t>101/2020/TT-BTC</w:t>
            </w:r>
          </w:p>
        </w:tc>
        <w:tc>
          <w:p/>
          <w:p>
            <w:pPr>
              <w:spacing w:after="0" w:before="0" w:lineRule="auto" w:line="276"/>
              <w:jc w:val="left"/>
            </w:pPr>
            <w:r>
              <w:rPr>
                <w:rFonts w:ascii="Times New Roman" w:hAnsi="Times New Roman" w:cs="Times New Roman" w:eastAsia="Times New Roman"/>
                <w:b w:val="false"/>
                <w:sz w:val="26"/>
              </w:rPr>
              <w:t>Thông tư 101/2020/TT-BTC</w:t>
            </w:r>
          </w:p>
        </w:tc>
        <w:tc>
          <w:p/>
          <w:p>
            <w:pPr>
              <w:spacing w:after="0" w:before="0" w:lineRule="auto" w:line="276"/>
              <w:jc w:val="left"/>
            </w:pPr>
            <w:r>
              <w:rPr>
                <w:rFonts w:ascii="Times New Roman" w:hAnsi="Times New Roman" w:cs="Times New Roman" w:eastAsia="Times New Roman"/>
                <w:b w:val="false"/>
                <w:sz w:val="26"/>
              </w:rPr>
              <w:t>23-11-2020</w:t>
            </w:r>
          </w:p>
        </w:tc>
        <w:tc>
          <w:p/>
        </w:tc>
      </w:tr>
      <w:tr>
        <w:tc>
          <w:p/>
          <w:p>
            <w:pPr>
              <w:spacing w:after="0" w:before="0" w:lineRule="auto" w:line="276"/>
              <w:jc w:val="left"/>
            </w:pPr>
            <w:r>
              <w:rPr>
                <w:rFonts w:ascii="Times New Roman" w:hAnsi="Times New Roman" w:cs="Times New Roman" w:eastAsia="Times New Roman"/>
                <w:b w:val="false"/>
                <w:sz w:val="26"/>
              </w:rPr>
              <w:t>136/2025/NĐ-CP</w:t>
            </w:r>
          </w:p>
        </w:tc>
        <w:tc>
          <w:p/>
          <w:p>
            <w:pPr>
              <w:spacing w:after="0" w:before="0" w:lineRule="auto" w:line="276"/>
              <w:jc w:val="left"/>
            </w:pPr>
            <w:r>
              <w:rPr>
                <w:rFonts w:ascii="Times New Roman" w:hAnsi="Times New Roman" w:cs="Times New Roman" w:eastAsia="Times New Roman"/>
                <w:b w:val="false"/>
                <w:sz w:val="26"/>
              </w:rPr>
              <w:t>Nghị định quy định phân quyền, phân cấp trong lĩnh vực nông nghiệp và môi trường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131/2025/NĐ-CP</w:t>
            </w:r>
          </w:p>
        </w:tc>
        <w:tc>
          <w:p/>
          <w:p>
            <w:pPr>
              <w:spacing w:after="0" w:before="0" w:lineRule="auto" w:line="276"/>
              <w:jc w:val="left"/>
            </w:pPr>
            <w:r>
              <w:rPr>
                <w:rFonts w:ascii="Times New Roman" w:hAnsi="Times New Roman" w:cs="Times New Roman" w:eastAsia="Times New Roman"/>
                <w:b w:val="false"/>
                <w:sz w:val="26"/>
              </w:rPr>
              <w:t>Quy định phân định thẩm quyền của chính quyền địa phương 02 cấp trong lĩnh vực quản lý nhà nước của Bộ Nông nghiệp và Môi trường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09/2025/TT-BNNMT</w:t>
            </w:r>
          </w:p>
        </w:tc>
        <w:tc>
          <w:p/>
          <w:p>
            <w:pPr>
              <w:spacing w:after="0" w:before="0" w:lineRule="auto" w:line="276"/>
              <w:jc w:val="left"/>
            </w:pPr>
            <w:r>
              <w:rPr>
                <w:rFonts w:ascii="Times New Roman" w:hAnsi="Times New Roman" w:cs="Times New Roman" w:eastAsia="Times New Roman"/>
                <w:b w:val="false"/>
                <w:sz w:val="26"/>
              </w:rPr>
              <w:t>09/2025/TT-BNNMT</w:t>
            </w:r>
          </w:p>
        </w:tc>
        <w:tc>
          <w:p/>
          <w:p>
            <w:pPr>
              <w:spacing w:after="0" w:before="0" w:lineRule="auto" w:line="276"/>
              <w:jc w:val="left"/>
            </w:pPr>
            <w:r>
              <w:rPr>
                <w:rFonts w:ascii="Times New Roman" w:hAnsi="Times New Roman" w:cs="Times New Roman" w:eastAsia="Times New Roman"/>
                <w:b w:val="false"/>
                <w:sz w:val="26"/>
              </w:rPr>
              <w:t>19-06-2025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2026-05-01T02:43:27Z</dcterms:created>
  <dc:creator>Apache POI</dc:creator>
</cp:coreProperties>
</file>