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1.000405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4093/QĐ-NHNN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khoản vay nước ngoài/khoản phát hành trái phiếu quốc tế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ký thỏa thuận thay đổi hoặc ngày Bộ Tài chính phát hành thư, phụ lục điều chỉnh thư bảo lãnh (nếu có) và trước khi thực hiện nội dung thay đổi, bên đi vay, bên phát hành trái phiếu quốc tế gửi 01 bộ hồ sơ theo quy định tới Ngân hàng Nhà nước;
- Bước 2: Thời hạn kiểm tra tính đầy đủ của hồ sơ là 03 ngày làm việc kể từ khi Hệ thống thông tin giải quyết thủ tục hành chính Ngân hàng Nhà nước tiếp nhận hồ sơ theo phương thức trực tuyến hoặc kể từ khi Bộ phận Một cửa của Ngân hàng Nhà nước tiếp nhận hồ sơ theo phương thức trực tiếp hoặc qua dịch vụ bưu chính.
- Bước 3: Trong thời hạn 05 ngày làm việc kể từ ngày nhận được hồ sơ đầy đủ, hợp lệ, Ngân hàng Nhà nước gửi bên đi vay, bên phát hành trái phiếu quốc tế văn bản xác nhận đăng ký thay đổi khoản vay nước ngoài, khoản phát hành trái phiếu quốc tế. Trường hợp từ chối xác nhận đăng ký thay đổi khoản vay nước ngoài, khoản phát hành trái phiếu quốc tế, Ngân hàng Nhà nước có văn bản nêu rõ lý do;
 Đối với hồ sơ chưa đủ điều kiện giải quyết, trong thời hạn 03 ngày làm việc kể từ ngày tiếp nhận hồ sơ, Ngân hàng Nhà nước có thông báo bằng văn bản gửi cho bên đi vay, bên phát hành trái phiếu quốc tế. Sau 60 ngày kể từ khi thông báo, nếu Bên đi vay không hoàn thành việc hoàn thiện hồ sơ, Ngân hàng Nhà nước đóng hồ sơ đề nghị xác nhận đăng ký thay đổi khoản vay nước ngoài, khoản phát hành trái phiếu quốc tế.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thủ tục hành chính chưa được cung cấp trực tuyến trên Cổng dịch vụ công quốc gia hoặc hệ thống Cổng dịch vụ công quốc gia gặp sự cố, có lỗi không thể tiếp nhận, trao đổi thông tin điện tử, việc nộp hồ sơ, tiếp nhận, trả kết quả, trao đổi, phản hồi thông tin được thực hiện qua dịch vụ bưu chính hoặc trực tiếp tại Bộ phận Một cửa của Ngân hàng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số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thay đổi khoản vay nước ngoài/khoản phát hành trái phiếu quốc tế được Chính phủ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22/2013/TT-NHNN</w:t>
            </w:r>
          </w:p>
        </w:tc>
        <w:tc>
          <w:p/>
          <w:p>
            <w:pPr>
              <w:spacing w:after="0" w:before="0" w:lineRule="auto" w:line="276"/>
              <w:jc w:val="left"/>
            </w:pPr>
            <w:r>
              <w:rPr>
                <w:rFonts w:ascii="Times New Roman" w:hAnsi="Times New Roman" w:cs="Times New Roman" w:eastAsia="Times New Roman"/>
                <w:b w:val="false"/>
                <w:sz w:val="26"/>
              </w:rPr>
              <w:t>Thông tư 22/2013/TT-NHNN</w:t>
            </w:r>
          </w:p>
        </w:tc>
        <w:tc>
          <w:p/>
          <w:p>
            <w:pPr>
              <w:spacing w:after="0" w:before="0" w:lineRule="auto" w:line="276"/>
              <w:jc w:val="left"/>
            </w:pPr>
            <w:r>
              <w:rPr>
                <w:rFonts w:ascii="Times New Roman" w:hAnsi="Times New Roman" w:cs="Times New Roman" w:eastAsia="Times New Roman"/>
                <w:b w:val="false"/>
                <w:sz w:val="26"/>
              </w:rPr>
              <w:t>24-09-2013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46/2010/QH12</w:t>
            </w:r>
          </w:p>
        </w:tc>
        <w:tc>
          <w:p/>
          <w:p>
            <w:pPr>
              <w:spacing w:after="0" w:before="0" w:lineRule="auto" w:line="276"/>
              <w:jc w:val="left"/>
            </w:pPr>
            <w:r>
              <w:rPr>
                <w:rFonts w:ascii="Times New Roman" w:hAnsi="Times New Roman" w:cs="Times New Roman" w:eastAsia="Times New Roman"/>
                <w:b w:val="false"/>
                <w:sz w:val="26"/>
              </w:rPr>
              <w:t>Luật 46/2010/QH12</w:t>
            </w:r>
          </w:p>
        </w:tc>
        <w:tc>
          <w:p/>
          <w:p>
            <w:pPr>
              <w:spacing w:after="0" w:before="0" w:lineRule="auto" w:line="276"/>
              <w:jc w:val="left"/>
            </w:pPr>
            <w:r>
              <w:rPr>
                <w:rFonts w:ascii="Times New Roman" w:hAnsi="Times New Roman" w:cs="Times New Roman" w:eastAsia="Times New Roman"/>
                <w:b w:val="false"/>
                <w:sz w:val="26"/>
              </w:rPr>
              <w:t>16-06-2010</w:t>
            </w:r>
          </w:p>
        </w:tc>
        <w:tc>
          <w:p/>
        </w:tc>
      </w:tr>
      <w:tr>
        <w:tc>
          <w:p/>
          <w:p>
            <w:pPr>
              <w:spacing w:after="0" w:before="0" w:lineRule="auto" w:line="276"/>
              <w:jc w:val="left"/>
            </w:pPr>
            <w:r>
              <w:rPr>
                <w:rFonts w:ascii="Times New Roman" w:hAnsi="Times New Roman" w:cs="Times New Roman" w:eastAsia="Times New Roman"/>
                <w:b w:val="false"/>
                <w:sz w:val="26"/>
              </w:rPr>
              <w:t>78/2025/TT-NHNN</w:t>
            </w:r>
          </w:p>
        </w:tc>
        <w:tc>
          <w:p/>
          <w:p>
            <w:pPr>
              <w:spacing w:after="0" w:before="0" w:lineRule="auto" w:line="276"/>
              <w:jc w:val="left"/>
            </w:pPr>
            <w:r>
              <w:rPr>
                <w:rFonts w:ascii="Times New Roman" w:hAnsi="Times New Roman" w:cs="Times New Roman" w:eastAsia="Times New Roman"/>
                <w:b w:val="false"/>
                <w:sz w:val="26"/>
              </w:rPr>
              <w:t>Thông tư sửa đổi, bổ sung, bãi bỏ một số quy định tại các văn bản quy phạm pháp luật trong lĩnh vực quản lý ngoại hối đối với các giao dịch vốn để thực thi phương án cắt giảm,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2026-05-17T01:18:54Z</dcterms:created>
  <dc:creator>Apache POI</dc:creator>
</cp:coreProperties>
</file>