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cho thuê, cho mượn thiết bị vô tuyến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w:t>
      </w:r>
    </w:p>
    <w:p>
      <w:pPr>
        <w:spacing w:after="0" w:before="0" w:lineRule="auto" w:line="276"/>
        <w:jc w:val="both"/>
      </w:pPr>
      <w:r>
        <w:rPr>
          <w:rFonts w:ascii="Times New Roman" w:hAnsi="Times New Roman" w:cs="Times New Roman" w:eastAsia="Times New Roman"/>
          <w:b w:val="false"/>
          <w:sz w:val="26"/>
        </w:rPr>
        <w:t>Tổ chức, cá nhân cho bên thuê, mượn thiết bị vô tuyến điện chuẩn bị văn bản thông báo theo mẫu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w:t>
      </w:r>
    </w:p>
    <w:p>
      <w:pPr>
        <w:spacing w:after="0" w:before="0" w:lineRule="auto" w:line="276"/>
        <w:jc w:val="both"/>
      </w:pPr>
      <w:r>
        <w:rPr>
          <w:rFonts w:ascii="Times New Roman" w:hAnsi="Times New Roman" w:cs="Times New Roman" w:eastAsia="Times New Roman"/>
          <w:b w:val="false"/>
          <w:sz w:val="26"/>
        </w:rPr>
        <w:t>Tổ chức, cá nhân gửi hồ sơ theo cách thức và đến địa chỉ tiếp nhận hồ sơ nêu dưới đây trước thời điểm bàn giao thiết bị ít nhất năm (05)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yêu cầu giải quyết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yêu cầu giải quyết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về việc cho thuê, cho mượn theo mẫu quy định tại Phụ lục 4 ban hành kèm theo Thông tư số 05/2015/TT-BTTTT ngày 23/3/2015 của Bộ Thông tin và Truyền thông</w:t>
            </w:r>
          </w:p>
        </w:tc>
        <w:tc>
          <w:p/>
          <w:p>
            <w:pPr>
              <w:spacing w:after="0" w:before="0" w:lineRule="auto" w:line="276"/>
              <w:jc w:val="left"/>
            </w:pPr>
            <w:r>
              <w:rPr>
                <w:rFonts w:ascii="Times New Roman" w:hAnsi="Times New Roman" w:cs="Times New Roman" w:eastAsia="Times New Roman"/>
                <w:b w:val="false"/>
                <w:sz w:val="26"/>
              </w:rPr>
              <w:t>Mẫu_Thông báo.doc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cho thuê 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Trung tâm Tần số vô tuyến điện khu vực phụ trách địa bàn. Xem chi tiết tại đây: http://www.rfd.gov.vn/gioi-thieu/co-cau-to-chuc/pages/cac-trung-tam.aspx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18/2008/QĐ-BTTTT</w:t>
            </w:r>
          </w:p>
        </w:tc>
        <w:tc>
          <w:p/>
          <w:p>
            <w:pPr>
              <w:spacing w:after="0" w:before="0" w:lineRule="auto" w:line="276"/>
              <w:jc w:val="left"/>
            </w:pPr>
            <w:r>
              <w:rPr>
                <w:rFonts w:ascii="Times New Roman" w:hAnsi="Times New Roman" w:cs="Times New Roman" w:eastAsia="Times New Roman"/>
                <w:b w:val="false"/>
                <w:sz w:val="26"/>
              </w:rPr>
              <w:t>Về việc ban hành “Quy định về hoạt động vô tuyến điện nghiệp dư”</w:t>
            </w:r>
          </w:p>
        </w:tc>
        <w:tc>
          <w:p/>
          <w:p>
            <w:pPr>
              <w:spacing w:after="0" w:before="0" w:lineRule="auto" w:line="276"/>
              <w:jc w:val="left"/>
            </w:pPr>
            <w:r>
              <w:rPr>
                <w:rFonts w:ascii="Times New Roman" w:hAnsi="Times New Roman" w:cs="Times New Roman" w:eastAsia="Times New Roman"/>
                <w:b w:val="false"/>
                <w:sz w:val="26"/>
              </w:rPr>
              <w:t>04-04-2008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Bên thuê, bên mượn phải đáp ứng quy định về đối tượng như sau:
- Là tổ chức, công dân, tổ chức nước ngoài hoạt động hợp pháp tại Việt Nam; hoặc
- Người nước ngoài sử dụng đài vô tuyến điện nghiệp dư hoặc tần số vô tuyến điện cho mục đích khác theo quy định của Bộ Thông tin và Truyền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2026-05-19T14:16:22Z</dcterms:created>
  <dc:creator>Apache POI</dc:creator>
</cp:coreProperties>
</file>