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647/QĐ-BXD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thông báo hàng hải lần đầu về các thông số kỹ thuật của luồng hàng hải, vùng nước trước cầu cảng và các khu nước, vùng nước sau khi xây dưng, nạo vét duy tu, cải tạo, nâng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Sau khi hoàn thành khảo sát độ sâu, rà quét chướng ngại vật lần đầu đối với luồng hàng hải, vùng nước trước cầu cảng và các khu nước, vùng nước sau khi xây dựng, nạo vét duy tu, cải tạo, nâng cấp phù hợp với thiết kế đã được phê duyệt, chủ đầu tư hoặc người khai thác gửi 01 bộ hồ sơ đề nghị công bố thông báo hàng hải trực tiếp hoặc qua hệ thống bưu chính hoặc qua hệ thống dịch vụ công trực tuyến đến Cục Hàng hải và Đường thủy Việt Nam.
 b) Giải quyết TTHC:
- Trường hợp hồ sơ chưa hợp lệ thì trong thời gian 02 ngày làm việc kể từ khi nhận được hồ sơ, cơ quan, tổ chức có thẩm quyền công bố thông báo hàng hải hướng dẫn hoàn thiện hồ sơ theo quy định.
- Trường hợp hồ sơ hợp lệ thì trong thời hạn 03 ngày làm việc kể từ ngày nhận đủ hồ sơ, cơ quan, tổ chức có thẩm quyền công bố thông báo hàng hải có trách nhiệm kiểm tra hồ sơ, công bố thông báo hàng hải; trường hợp không công bố,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hoặc biểu mẫu điện tử Đơn đề nghị của chủ đầu tư hoặc người khai thác;</w:t>
            </w:r>
          </w:p>
        </w:tc>
        <w:tc>
          <w:p/>
          <w:p>
            <w:pPr>
              <w:spacing w:after="0" w:before="0" w:lineRule="auto" w:line="276"/>
              <w:jc w:val="left"/>
            </w:pPr>
            <w:r>
              <w:rPr>
                <w:rFonts w:ascii="Times New Roman" w:hAnsi="Times New Roman" w:cs="Times New Roman" w:eastAsia="Times New Roman"/>
                <w:b w:val="false"/>
                <w:sz w:val="26"/>
              </w:rPr>
              <w:t>Mauonenghicongbothongbaohanghai.docx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hoặc bản sao điện tử Bình đồ khảo sát độ sâu được thực hiện trong thời hạn tối đa 15 ngày tính đến thời điểm nộp hồ sơ, báo cáo khảo sát và các tài liệu liên quan thu thập tại hiện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hoặc bản sao điện tử kết quả rà quét chướng ngại vật, trừ trường hợp đối với công trình nạo vét duy tu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hoặc bản sao điện tử Bình đồ tuyến rà quét chướng ngại vật, trừ trường hợp đối với công trình nạo vét duy tu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hải và Đường thủy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hải và Đường thủy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hàng hải về thông số kỹ thuật của khu nước, vùng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95/2015/QH13</w:t>
            </w:r>
          </w:p>
        </w:tc>
        <w:tc>
          <w:p/>
          <w:p>
            <w:pPr>
              <w:spacing w:after="0" w:before="0" w:lineRule="auto" w:line="276"/>
              <w:jc w:val="left"/>
            </w:pPr>
            <w:r>
              <w:rPr>
                <w:rFonts w:ascii="Times New Roman" w:hAnsi="Times New Roman" w:cs="Times New Roman" w:eastAsia="Times New Roman"/>
                <w:b w:val="false"/>
                <w:sz w:val="26"/>
              </w:rPr>
              <w:t>Hàng hải</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33/2025/NĐ-CP</w:t>
            </w:r>
          </w:p>
        </w:tc>
        <w:tc>
          <w:p/>
          <w:p>
            <w:pPr>
              <w:spacing w:after="0" w:before="0" w:lineRule="auto" w:line="276"/>
              <w:jc w:val="left"/>
            </w:pPr>
            <w:r>
              <w:rPr>
                <w:rFonts w:ascii="Times New Roman" w:hAnsi="Times New Roman" w:cs="Times New Roman" w:eastAsia="Times New Roman"/>
                <w:b w:val="false"/>
                <w:sz w:val="26"/>
              </w:rPr>
              <w:t>Quy định chức năng, nhiệm vụ, quyền hạn và cơ cấu tổ chức của Bộ Xây dựng.</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trong lĩnh vực hàng hải</w:t>
            </w:r>
          </w:p>
        </w:tc>
        <w:tc>
          <w:p/>
          <w:p>
            <w:pPr>
              <w:spacing w:after="0" w:before="0" w:lineRule="auto" w:line="276"/>
              <w:jc w:val="left"/>
            </w:pPr>
            <w:r>
              <w:rPr>
                <w:rFonts w:ascii="Times New Roman" w:hAnsi="Times New Roman" w:cs="Times New Roman" w:eastAsia="Times New Roman"/>
                <w:b w:val="false"/>
                <w:sz w:val="26"/>
              </w:rPr>
              <w:t>25-02-2025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2026-05-28T18:40:16Z</dcterms:created>
  <dc:creator>Apache POI</dc:creator>
</cp:coreProperties>
</file>