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1.004081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1401/QĐ-BTTTT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sử dụng tần số và thiết bị vô tuyến điện đối với đài tàu (không áp dụng đối với đài vô tuyến điện không thuộc hệ thống GMDSS)</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Tần số vô tuyến 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hoàn thiện hồ sơ đề nghị cấp giấy phép sử dụng tần số và thiết bị vô tuyến điện đối với đài tàu (không áp dụng đối với đài vô tuyến điện không thuộc hệ thống GMDSS) theo quy định tại khoản 1 Điều 17 Thông tư số 04/2021/TT-BTTTT và nộp hồ sơ đến Cục Tần số vô tuyến điện.
- Sau khi hồ sơ được tiếp nhận, Cục Tần số vô tuyến điện cấp giấy phép sử dụng tần số và thiết bị vô tuyến điện đối với đài tàu (không áp dụng đối với đài vô tuyến điện không thuộc hệ thống GMDSS) trong thời hạn 10 ngày làm việc kể từ ngày nhận được hồ sơ đầy đủ, đúng quy định.
- Trường hợp hồ sơ chưa đầy đủ, chưa đúng quy định thì trong thời hạn 05 ngày làm việc kể từ ngày nhận được hồ sơ, Cục Tần số vô tuyến điện khu vực có trách nhiệm thông báo, hướng dẫn cho tổ chức, cá nhân để bổ sung, hoàn thiện hồ sơ.
- Trường hợp từ chối cấp giấy phép, Cục Tần số vô tuyến điện thông báo bằng văn bản và nêu rõ lý do từ chối.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Thông tư số 265/2016/TT-BTC ngày 14/11/2016 của Bộ Tài chính, quy định mức thu, chế độ thu, nộp và quản lý sử dụng lệ phí cấp giấy phép sử dụng tần số vô tuyến điện và phí sử dụng tần số vô tuyến điện)</w:t>
            </w:r>
          </w:p>
          <w:p>
            <w:pPr>
              <w:spacing w:after="0" w:before="0" w:lineRule="auto" w:line="276"/>
              <w:jc w:val="left"/>
            </w:pPr>
            <w:r>
              <w:rPr>
                <w:rFonts w:ascii="Times New Roman" w:hAnsi="Times New Roman" w:cs="Times New Roman" w:eastAsia="Times New Roman"/>
                <w:b w:val="false"/>
                <w:sz w:val="26"/>
              </w:rPr>
              <w:t>Lệ phí :  Đồng</w:t>
              <w:t xml:space="preserve"> (Theo Thông tư số 265/2016/TT-BTC ngày 14/11/2016 của Bộ Tài chính, quy định mức thu, chế độ thu, nộp và quản lý sử dụng lệ phí cấp giấy phép sử dụng tần số vô tuyến điện và phí sử dụng tần số vô tuyến điện)</w:t>
            </w:r>
          </w:p>
        </w:tc>
        <w:tc>
          <w:p/>
          <w:p>
            <w:pPr>
              <w:spacing w:after="0" w:before="0" w:lineRule="auto" w:line="276"/>
              <w:jc w:val="left"/>
            </w:pPr>
            <w:r>
              <w:rPr>
                <w:rFonts w:ascii="Times New Roman" w:hAnsi="Times New Roman" w:cs="Times New Roman" w:eastAsia="Times New Roman"/>
                <w:b w:val="false"/>
                <w:sz w:val="26"/>
              </w:rPr>
              <w:t>Nộp trực tiếp tại Cục Tần số vô tuyến điện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Thông tư số 265/2016/TT-BTC ngày 14/11/2016 của Bộ Tài chính, quy định mức thu, chế độ thu, nộp và quản lý sử dụng lệ phí cấp giấy phép sử dụng tần số vô tuyến điện và phí sử dụng tần số vô tuyến điện)</w:t>
            </w:r>
          </w:p>
          <w:p>
            <w:pPr>
              <w:spacing w:after="0" w:before="0" w:lineRule="auto" w:line="276"/>
              <w:jc w:val="left"/>
            </w:pPr>
            <w:r>
              <w:rPr>
                <w:rFonts w:ascii="Times New Roman" w:hAnsi="Times New Roman" w:cs="Times New Roman" w:eastAsia="Times New Roman"/>
                <w:b w:val="false"/>
                <w:sz w:val="26"/>
              </w:rPr>
              <w:t>Lệ phí :  Đồng</w:t>
              <w:t xml:space="preserve"> (Theo Thông tư số 265/2016/TT-BTC ngày 14/11/2016 của Bộ Tài chính, quy định mức thu, chế độ thu, nộp và quản lý sử dụng lệ phí cấp giấy phép sử dụng tần số vô tuyến điện và phí sử dụng tần số vô tuyến điện)</w:t>
            </w:r>
          </w:p>
        </w:tc>
        <w:tc>
          <w:p/>
          <w:p>
            <w:pPr>
              <w:spacing w:after="0" w:before="0" w:lineRule="auto" w:line="276"/>
              <w:jc w:val="left"/>
            </w:pPr>
            <w:r>
              <w:rPr>
                <w:rFonts w:ascii="Times New Roman" w:hAnsi="Times New Roman" w:cs="Times New Roman" w:eastAsia="Times New Roman"/>
                <w:b w:val="false"/>
                <w:sz w:val="26"/>
              </w:rPr>
              <w:t>Nộp trực tuyến qua Cổng dịch vụ công:  Cổng dịch vụ công của Bộ Thông tin và Truyền thông (http://dichvucong.mic.gov.vn) hoặc Cổng dịch vụ công của Cục Tần số vô tuyến điện (http://dichvucong.rfd.gov.vn).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Thông tư số 265/2016/TT-BTC ngày 14/11/2016 của Bộ Tài chính, quy định mức thu, chế độ thu, nộp và quản lý sử dụng lệ phí cấp giấy phép sử dụng tần số vô tuyến điện và phí sử dụng tần số vô tuyến điện)</w:t>
            </w:r>
          </w:p>
          <w:p>
            <w:pPr>
              <w:spacing w:after="0" w:before="0" w:lineRule="auto" w:line="276"/>
              <w:jc w:val="left"/>
            </w:pPr>
            <w:r>
              <w:rPr>
                <w:rFonts w:ascii="Times New Roman" w:hAnsi="Times New Roman" w:cs="Times New Roman" w:eastAsia="Times New Roman"/>
                <w:b w:val="false"/>
                <w:sz w:val="26"/>
              </w:rPr>
              <w:t>Lệ phí :  Đồng</w:t>
              <w:t xml:space="preserve"> (Theo Thông tư số 265/2016/TT-BTC ngày 14/11/2016 của Bộ Tài chính, quy định mức thu, chế độ thu, nộp và quản lý sử dụng lệ phí cấp giấy phép sử dụng tần số vô tuyến điện và phí sử dụng tần số vô tuyến điện)</w:t>
            </w:r>
          </w:p>
        </w:tc>
        <w:tc>
          <w:p/>
          <w:p>
            <w:pPr>
              <w:spacing w:after="0" w:before="0" w:lineRule="auto" w:line="276"/>
              <w:jc w:val="left"/>
            </w:pPr>
            <w:r>
              <w:rPr>
                <w:rFonts w:ascii="Times New Roman" w:hAnsi="Times New Roman" w:cs="Times New Roman" w:eastAsia="Times New Roman"/>
                <w:b w:val="false"/>
                <w:sz w:val="26"/>
              </w:rPr>
              <w:t>Nộp qua hệ thống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cấp mới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thông tin chung và Bản khai thông số kỹ thuật, khai thác theo mẫu 1h quy định tại Phụ lục II của Thông tư 04/2021/TT-BTTTT</w:t>
            </w:r>
          </w:p>
        </w:tc>
        <w:tc>
          <w:p/>
          <w:p>
            <w:pPr>
              <w:spacing w:after="0" w:before="0" w:lineRule="auto" w:line="276"/>
              <w:jc w:val="left"/>
            </w:pPr>
            <w:r>
              <w:rPr>
                <w:rFonts w:ascii="Times New Roman" w:hAnsi="Times New Roman" w:cs="Times New Roman" w:eastAsia="Times New Roman"/>
                <w:b w:val="false"/>
                <w:sz w:val="26"/>
              </w:rPr>
              <w:t>1.004081-Mẫu 1h TT04.docx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sao kèm bản chính để đối chiếu hoặc bản sao điện tử có giá trị pháp lý của một trong các loại giấy tờ sau: + Căn cước công dân hoặc Giấy chứng minh nhân dân hoặc Hộ chiếu còn thời hạn (đối với cá nhân đề nghị cấp giấy phép); hoặc + Giấy chứng nhận đăng ký hộ kinh doanh (đối với hộ kinh doanh đề nghị cấp giấy phép); hoặc  + Quyết định quy định chức năng, nhiệm vụ, quyền hạn và cơ cấu tổ chức (đối với cơ sở đào tạo sử dụng tần số và thiết bị vô tuyến điện hàng hải đặt trên các mô hình mô phỏng đài tàu).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gia hạn giấy phép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đề nghị cấp Giấy phép sử dụng tần số và thiết bị vô tuyến điện theo mẫu 1h Phụ lục 2 của Thông tư số 05/2015/TT-BTTTT ngày 23/3/2015 của Bộ Thông tin và Truyền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Hồ sơ sửa đổi, bổ sung nội dung giấy phép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đề nghị cấp Giấy phép sử dụng tần số và thiết bị vô tuyến điện theo mẫu 1h Phụ lục 2 của Thông tư số 05/2015/TT-BTTTT ngày 23/3/2015 của Bộ Thông tin và Truyền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giải thích nội dung cần sửa đổi, bổ sung (khi được yêu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Tần số vô tuyến điện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 ( Bộ TTTT cũ)</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Cục Tần số vô tuyến điện. Số 115 đường Trần Duy Hưng, phường Trung Hòa, quận Cầu Giấy, Thành phố Hà Nội;  - Hoặc các Trung tâm Tần số vô tuyến điện khu vực thuộc Cục Tần số vô tuyến điện. Xem địa chỉ tại đây: http://www.rfd.gov.vn/gioi-thieu/co-cau-to-chuc/pages/cac-trung-tam.aspx;  - Hoặc các cơ quan phối hợp khác do Cục Tần số vô tuyến điện ủy quyền. Xem Danh sách các cơ quan phối hợp tại: http://www.rfd.gov.vn/tin-tuc/pages/thong-bao.aspx.  - Hoặc Hệ thống Đăng ký - Cấp giấy phép qua mạng của Cục Tần số VTĐ. Địa chỉ truy cập:  http://capphepquamang.rfd.gov.vn/dangkyquamang/trangchu.aspx</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 dụng tần số và thiết bị vô tuyến điện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42/2009/QH12</w:t>
            </w:r>
          </w:p>
        </w:tc>
        <w:tc>
          <w:p/>
          <w:p>
            <w:pPr>
              <w:spacing w:after="0" w:before="0" w:lineRule="auto" w:line="276"/>
              <w:jc w:val="left"/>
            </w:pPr>
            <w:r>
              <w:rPr>
                <w:rFonts w:ascii="Times New Roman" w:hAnsi="Times New Roman" w:cs="Times New Roman" w:eastAsia="Times New Roman"/>
                <w:b w:val="false"/>
                <w:sz w:val="26"/>
              </w:rPr>
              <w:t>Luật 42/2009/QH12</w:t>
            </w:r>
          </w:p>
        </w:tc>
        <w:tc>
          <w:p/>
          <w:p>
            <w:pPr>
              <w:spacing w:after="0" w:before="0" w:lineRule="auto" w:line="276"/>
              <w:jc w:val="left"/>
            </w:pPr>
            <w:r>
              <w:rPr>
                <w:rFonts w:ascii="Times New Roman" w:hAnsi="Times New Roman" w:cs="Times New Roman" w:eastAsia="Times New Roman"/>
                <w:b w:val="false"/>
                <w:sz w:val="26"/>
              </w:rPr>
              <w:t>23-11-2009</w:t>
            </w:r>
          </w:p>
        </w:tc>
        <w:tc>
          <w:p/>
        </w:tc>
      </w:tr>
      <w:tr>
        <w:tc>
          <w:p/>
          <w:p>
            <w:pPr>
              <w:spacing w:after="0" w:before="0" w:lineRule="auto" w:line="276"/>
              <w:jc w:val="left"/>
            </w:pPr>
            <w:r>
              <w:rPr>
                <w:rFonts w:ascii="Times New Roman" w:hAnsi="Times New Roman" w:cs="Times New Roman" w:eastAsia="Times New Roman"/>
                <w:b w:val="false"/>
                <w:sz w:val="26"/>
              </w:rPr>
              <w:t>04/2021/TT-BTTTT</w:t>
            </w:r>
          </w:p>
        </w:tc>
        <w:tc>
          <w:p/>
          <w:p>
            <w:pPr>
              <w:spacing w:after="0" w:before="0" w:lineRule="auto" w:line="276"/>
              <w:jc w:val="left"/>
            </w:pPr>
            <w:r>
              <w:rPr>
                <w:rFonts w:ascii="Times New Roman" w:hAnsi="Times New Roman" w:cs="Times New Roman" w:eastAsia="Times New Roman"/>
                <w:b w:val="false"/>
                <w:sz w:val="26"/>
              </w:rPr>
              <w:t>Thông tư 04/2021/TT-BTTTT</w:t>
            </w:r>
          </w:p>
        </w:tc>
        <w:tc>
          <w:p/>
          <w:p>
            <w:pPr>
              <w:spacing w:after="0" w:before="0" w:lineRule="auto" w:line="276"/>
              <w:jc w:val="left"/>
            </w:pPr>
            <w:r>
              <w:rPr>
                <w:rFonts w:ascii="Times New Roman" w:hAnsi="Times New Roman" w:cs="Times New Roman" w:eastAsia="Times New Roman"/>
                <w:b w:val="false"/>
                <w:sz w:val="26"/>
              </w:rPr>
              <w:t>13-08-2021</w:t>
            </w:r>
          </w:p>
        </w:tc>
        <w:tc>
          <w:p/>
        </w:tc>
      </w:tr>
      <w:tr>
        <w:tc>
          <w:p/>
          <w:p>
            <w:pPr>
              <w:spacing w:after="0" w:before="0" w:lineRule="auto" w:line="276"/>
              <w:jc w:val="left"/>
            </w:pPr>
            <w:r>
              <w:rPr>
                <w:rFonts w:ascii="Times New Roman" w:hAnsi="Times New Roman" w:cs="Times New Roman" w:eastAsia="Times New Roman"/>
                <w:b w:val="false"/>
                <w:sz w:val="26"/>
              </w:rPr>
              <w:t>265/2016/TT-BTC</w:t>
            </w:r>
          </w:p>
        </w:tc>
        <w:tc>
          <w:p/>
          <w:p>
            <w:pPr>
              <w:spacing w:after="0" w:before="0" w:lineRule="auto" w:line="276"/>
              <w:jc w:val="left"/>
            </w:pPr>
            <w:r>
              <w:rPr>
                <w:rFonts w:ascii="Times New Roman" w:hAnsi="Times New Roman" w:cs="Times New Roman" w:eastAsia="Times New Roman"/>
                <w:b w:val="false"/>
                <w:sz w:val="26"/>
              </w:rPr>
              <w:t>Thông tư 265/2016/TT-BTC</w:t>
            </w:r>
          </w:p>
        </w:tc>
        <w:tc>
          <w:p/>
          <w:p>
            <w:pPr>
              <w:spacing w:after="0" w:before="0" w:lineRule="auto" w:line="276"/>
              <w:jc w:val="left"/>
            </w:pPr>
            <w:r>
              <w:rPr>
                <w:rFonts w:ascii="Times New Roman" w:hAnsi="Times New Roman" w:cs="Times New Roman" w:eastAsia="Times New Roman"/>
                <w:b w:val="false"/>
                <w:sz w:val="26"/>
              </w:rPr>
              <w:t>14-11-2016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Sử dụng tần số và thiết bị vô tuyến điện vào mục đích và nghiệp vụ vô tuyến điện mà pháp luật không cấm;
- Có phương án sử dụng tần số vô tuyến điện khả thi, phù hợp quy hoạch tần số vô tuyến điện;
- Có thiết bị vô tuyến điện phù hợp quy chuẩn kỹ thuật về phát xạ vô tuyến điện, an toàn bức xạ vô tuyến điện và tương thích điện từ;
- Cam kết thực hiện quy định của pháp luật về bảo đảm an toàn, an ninh thông tin; kiểm tra, giải quyết nhiễu có hại và an toàn bức xạ vô tuyến điện;
- Có chứng chỉ vô tuyến điện viên hàng hải.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2026-05-19T15:12:03Z</dcterms:created>
  <dc:creator>Apache POI</dc:creator>
</cp:coreProperties>
</file>