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5001/QĐ-BVHTTDL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thời lượng phát sóng, thời lượng chương trình tự sản xuất của kênh phát thanh, kênh truyền hình quy định trong giấy phép hoạt động phát thanh, giấy phép hoạt động truyền hình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Cơ quan, tổ chức đề nghị thay đổi thời lượng phát sóng, thời lượng chương trình tự sản xuất của kênh phát thanh, kênh truyền hình quy định trong Giấy phép hoạt động phát thanh, giấy phép hoạt động truyền hình, nộp hồ sơ về Bộ Văn hóa, Thể thao và Du lịch (VHTTDL).</w:t>
      </w:r>
    </w:p>
    <w:p>
      <w:pPr>
        <w:spacing w:after="0" w:before="0" w:lineRule="auto" w:line="276"/>
        <w:jc w:val="both"/>
      </w:pPr>
      <w:r>
        <w:rPr>
          <w:rFonts w:ascii="Times New Roman" w:hAnsi="Times New Roman" w:cs="Times New Roman" w:eastAsia="Times New Roman"/>
          <w:b w:val="false"/>
          <w:sz w:val="26"/>
        </w:rPr>
        <w:t>2. Trong thời hạn tối đa 30 (ba mươi) ngày kể từ ngày nhận đủ hồ sơ hợp lệ, Bộ VHTTDL xem xét cấp phép cho cơ quan, tổ chức. Trường hợp từ chối, Bộ VHTTDL có văn bản trả lời, trong đó nêu rõ lý do từ chối.</w:t>
      </w:r>
    </w:p>
    <w:p>
      <w:pPr>
        <w:spacing w:after="0" w:before="0" w:lineRule="auto" w:line="276"/>
        <w:jc w:val="both"/>
      </w:pPr>
      <w:r>
        <w:rPr>
          <w:rFonts w:ascii="Times New Roman" w:hAnsi="Times New Roman" w:cs="Times New Roman" w:eastAsia="Times New Roman"/>
          <w:b w:val="false"/>
          <w:sz w:val="26"/>
        </w:rPr>
        <w:t>3. Trong thời hạn xử lý cấp phép theo quy định, đối với hồ sơ chưa đáp ứng đủ điều kiện, Bộ VHTTDL (Cục Phát thanh, truyền hình và thông tin điện tử) có văn bản thông báo cho cơ quan, tổ chức về việc bổ sung, giải trình, hoàn thiện hồ sơ.</w:t>
      </w:r>
    </w:p>
    <w:p>
      <w:pPr>
        <w:spacing w:after="0" w:before="0" w:lineRule="auto" w:line="276"/>
        <w:jc w:val="both"/>
      </w:pPr>
      <w:r>
        <w:rPr>
          <w:rFonts w:ascii="Times New Roman" w:hAnsi="Times New Roman" w:cs="Times New Roman" w:eastAsia="Times New Roman"/>
          <w:b w:val="false"/>
          <w:sz w:val="26"/>
        </w:rPr>
        <w:t>4. Cơ quan, tổ chức có trách nhiệm nộp hồ sơ bổ sung, giải trình cho Bộ VHTTDL (Cục Phát thanh, truyền hình và thông tin điện tử) theo nội dung yêu cầu trong thời hạn 30 (ba mươi) ngày kể từ ngày ghi trên văn bản thông báo.</w:t>
      </w:r>
    </w:p>
    <w:p>
      <w:pPr>
        <w:spacing w:after="0" w:before="0" w:lineRule="auto" w:line="276"/>
        <w:jc w:val="both"/>
      </w:pPr>
      <w:r>
        <w:rPr>
          <w:rFonts w:ascii="Times New Roman" w:hAnsi="Times New Roman" w:cs="Times New Roman" w:eastAsia="Times New Roman"/>
          <w:b w:val="false"/>
          <w:sz w:val="26"/>
        </w:rPr>
        <w:t>5. Kết thúc thời hạn nộp hồ sơ bổ sung theo quy định, cơ quan, tổ chức không nộp hồ sơ bổ sung, Bộ VHTTDL (Cục Phát thanh, truyền hình và thông tin điện tử) chấm dứt việc xử lý hồ sơ. Việc tiếp nhận hồ sơ sau khi hết hạn nộp bổ sung được xem xét như tiếp nhận hồ sơ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(ba mươi)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Tối đa 30 (ba mươi)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cơ quan chủ quản tổ chức hoạt động phát thanh, truyền hình tỉnh, thành phố trực thuộc Trung ương hoặc Bộ, ngành. Đối với Đài Tiếng nói Việt Nam, Đài Truyền hình Việt Nam, văn bản đề nghị phải do người đứng đầu cơ quan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về nội dung đề nghị thay đổi</w:t>
            </w:r>
          </w:p>
        </w:tc>
        <w:tc>
          <w:p/>
          <w:p>
            <w:pPr>
              <w:spacing w:after="0" w:before="0" w:lineRule="auto" w:line="276"/>
              <w:jc w:val="left"/>
            </w:pPr>
            <w:r>
              <w:rPr>
                <w:rFonts w:ascii="Times New Roman" w:hAnsi="Times New Roman" w:cs="Times New Roman" w:eastAsia="Times New Roman"/>
                <w:b w:val="false"/>
                <w:sz w:val="26"/>
              </w:rPr>
              <w:t>Mauso8-BCvvthaydoithoiluongpsthoiluongchuongtrinhtusanxuat.docx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Phát thanh, truyền hình và thông tin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Văn hóa, Thể thao và Du lịch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phát thanh/Giấy phép hoạt động truyền hình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103/2016/QH13	</w:t>
            </w:r>
          </w:p>
        </w:tc>
        <w:tc>
          <w:p/>
          <w:p>
            <w:pPr>
              <w:spacing w:after="0" w:before="0" w:lineRule="auto" w:line="276"/>
              <w:jc w:val="left"/>
            </w:pPr>
            <w:r>
              <w:rPr>
                <w:rFonts w:ascii="Times New Roman" w:hAnsi="Times New Roman" w:cs="Times New Roman" w:eastAsia="Times New Roman"/>
                <w:b w:val="false"/>
                <w:sz w:val="26"/>
              </w:rPr>
              <w:t>Luật 103/2016/QH13</w:t>
            </w:r>
          </w:p>
        </w:tc>
        <w:tc>
          <w:p/>
          <w:p>
            <w:pPr>
              <w:spacing w:after="0" w:before="0" w:lineRule="auto" w:line="276"/>
              <w:jc w:val="left"/>
            </w:pPr>
            <w:r>
              <w:rPr>
                <w:rFonts w:ascii="Times New Roman" w:hAnsi="Times New Roman" w:cs="Times New Roman" w:eastAsia="Times New Roman"/>
                <w:b w:val="false"/>
                <w:sz w:val="26"/>
              </w:rPr>
              <w:t>05-04-2016</w:t>
            </w:r>
          </w:p>
        </w:tc>
        <w:tc>
          <w:p/>
        </w:tc>
      </w:tr>
      <w:tr>
        <w:tc>
          <w:p/>
          <w:p>
            <w:pPr>
              <w:spacing w:after="0" w:before="0" w:lineRule="auto" w:line="276"/>
              <w:jc w:val="left"/>
            </w:pPr>
            <w:r>
              <w:rPr>
                <w:rFonts w:ascii="Times New Roman" w:hAnsi="Times New Roman" w:cs="Times New Roman" w:eastAsia="Times New Roman"/>
                <w:b w:val="false"/>
                <w:sz w:val="26"/>
              </w:rPr>
              <w:t>36/2016/TT-BTTTT</w:t>
            </w:r>
          </w:p>
        </w:tc>
        <w:tc>
          <w:p/>
          <w:p>
            <w:pPr>
              <w:spacing w:after="0" w:before="0" w:lineRule="auto" w:line="276"/>
              <w:jc w:val="left"/>
            </w:pPr>
            <w:r>
              <w:rPr>
                <w:rFonts w:ascii="Times New Roman" w:hAnsi="Times New Roman" w:cs="Times New Roman" w:eastAsia="Times New Roman"/>
                <w:b w:val="false"/>
                <w:sz w:val="26"/>
              </w:rPr>
              <w:t>ThoongThoong tư</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2026-05-04T19:26:12Z</dcterms:created>
  <dc:creator>Apache POI</dc:creator>
</cp:coreProperties>
</file>