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sửa đổi, bổ sung nội dung Giấy phép sử dụng tần số và thiết bị vô tuyến điện (trừ đài vệ tinh trái đất) đối với đài vô tuyến điện của đoàn đại biểu cấp cao nước ngoài được hưởng quy chế ưu đãi, miễn trừ ngoại giao, phóng viên nước ngoài đi theo phục vụ đoàn, Cơ quan đại diện nước ngoài đón đoàn hoặc cơ quan chủ quản đón đoàn làm thủ tục đè nghị cấp giấy phép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Chưa xác định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w:t>
      </w:r>
    </w:p>
    <w:p>
      <w:pPr>
        <w:spacing w:after="0" w:before="0" w:lineRule="auto" w:line="276"/>
        <w:jc w:val="both"/>
      </w:pPr>
      <w:r>
        <w:rPr>
          <w:rFonts w:ascii="Times New Roman" w:hAnsi="Times New Roman" w:cs="Times New Roman" w:eastAsia="Times New Roman"/>
          <w:b w:val="false"/>
          <w:sz w:val="26"/>
        </w:rPr>
        <w:t>Tổ chức và cá nhân có nhu cầu gửi hồ sơ về Cục Tần số vô tuyến điện hoặc các Trung tâm Tần số vô tuyến điện khu vực hoặc các cơ quan phối hợp do Cục Tần số vô tuyến điện ủy quyền (Danh sách các cơ quan phối hợp được thông báo trên trang thông tin điện tử của Cục Tần số vô tuyến điện).</w:t>
      </w:r>
    </w:p>
    <w:p>
      <w:pPr>
        <w:shd w:val="clear" w:color="auto" w:fill="F2F6F9"/>
        <w:spacing w:after="0" w:before="120" w:lineRule="auto" w:line="276"/>
        <w:jc w:val="both"/>
      </w:pPr>
      <w:r>
        <w:rPr>
          <w:rFonts w:ascii="Times New Roman" w:hAnsi="Times New Roman" w:cs="Times New Roman" w:eastAsia="Times New Roman"/>
          <w:b w:val="true"/>
          <w:sz w:val="26"/>
        </w:rPr>
        <w:t>2.</w:t>
      </w:r>
    </w:p>
    <w:p>
      <w:pPr>
        <w:spacing w:after="0" w:before="0" w:lineRule="auto" w:line="276"/>
        <w:jc w:val="both"/>
      </w:pPr>
      <w:r>
        <w:rPr>
          <w:rFonts w:ascii="Times New Roman" w:hAnsi="Times New Roman" w:cs="Times New Roman" w:eastAsia="Times New Roman"/>
          <w:b w:val="false"/>
          <w:sz w:val="26"/>
        </w:rPr>
        <w:t>Cục Tần số vô tuyến điện thụ lý hồ sơ cấp phép:</w:t>
      </w:r>
    </w:p>
    <w:p>
      <w:pPr>
        <w:spacing w:after="0" w:before="0" w:lineRule="auto" w:line="276"/>
        <w:jc w:val="both"/>
      </w:pPr>
      <w:r>
        <w:rPr>
          <w:rFonts w:ascii="Times New Roman" w:hAnsi="Times New Roman" w:cs="Times New Roman" w:eastAsia="Times New Roman"/>
          <w:b w:val="false"/>
          <w:sz w:val="26"/>
        </w:rPr>
        <w:t>+ Cục Tần số vô tuyến điện giải quyết cấp, gia hạn, sửa đổi, bổ sung nội dung giấy phép trong thời hạn 20 ngày làm việc, kể từ ngày nhận đủ hồ sơ theo quy định.</w:t>
      </w:r>
    </w:p>
    <w:p>
      <w:pPr>
        <w:spacing w:after="0" w:before="0" w:lineRule="auto" w:line="276"/>
        <w:jc w:val="both"/>
      </w:pPr>
      <w:r>
        <w:rPr>
          <w:rFonts w:ascii="Times New Roman" w:hAnsi="Times New Roman" w:cs="Times New Roman" w:eastAsia="Times New Roman"/>
          <w:b w:val="false"/>
          <w:sz w:val="26"/>
        </w:rPr>
        <w:t xml:space="preserve">+ Nếu hồ sơ chưa đầy đủ, chưa hợp lệ thì trong thời hạn 05 ngày làm việc kể từ ngày nhận được hồ sơ, Cục Tần số vô tuyến điện có trách nhiệm thông báo, hướng dẫn bằng văn bản cho tổ chức, cá nhân để bổ sung, hoàn thiện hồ sơ. </w:t>
      </w:r>
    </w:p>
    <w:p>
      <w:pPr>
        <w:spacing w:after="0" w:before="0" w:lineRule="auto" w:line="276"/>
        <w:jc w:val="both"/>
      </w:pPr>
      <w:r>
        <w:rPr>
          <w:rFonts w:ascii="Times New Roman" w:hAnsi="Times New Roman" w:cs="Times New Roman" w:eastAsia="Times New Roman"/>
          <w:b w:val="false"/>
          <w:sz w:val="26"/>
        </w:rPr>
        <w:t>+ Trường hợp từ chối cấp giấy phép, Cục Tần số vô tuyến điện thông báo bằng văn bản nêu rõ lý do từ chối cho tổ chức, cá nhân trong thời hạn 20 ngày làm việc.</w:t>
      </w:r>
    </w:p>
    <w:p>
      <w:pPr>
        <w:spacing w:after="0" w:before="0" w:lineRule="auto" w:line="276"/>
        <w:jc w:val="both"/>
      </w:pPr>
      <w:r>
        <w:rPr>
          <w:rFonts w:ascii="Times New Roman" w:hAnsi="Times New Roman" w:cs="Times New Roman" w:eastAsia="Times New Roman"/>
          <w:b w:val="false"/>
          <w:sz w:val="26"/>
        </w:rPr>
        <w:t>+ Đối với trường hợp phải thay đổi tần số do không xử lý được nhiễu có hại, thời hạn giải quyết cấp giấy phép không quá 10 ngày làm việc kể từ ngày có kết luận về xử lý nhiễu có hại.</w:t>
      </w:r>
    </w:p>
    <w:p>
      <w:pPr>
        <w:shd w:val="clear" w:color="auto" w:fill="F2F6F9"/>
        <w:spacing w:after="0" w:before="120" w:lineRule="auto" w:line="276"/>
        <w:jc w:val="both"/>
      </w:pPr>
      <w:r>
        <w:rPr>
          <w:rFonts w:ascii="Times New Roman" w:hAnsi="Times New Roman" w:cs="Times New Roman" w:eastAsia="Times New Roman"/>
          <w:b w:val="true"/>
          <w:sz w:val="26"/>
        </w:rPr>
        <w:t>3.</w:t>
      </w:r>
    </w:p>
    <w:p>
      <w:pPr>
        <w:spacing w:after="0" w:before="0" w:lineRule="auto" w:line="276"/>
        <w:jc w:val="both"/>
      </w:pPr>
      <w:r>
        <w:rPr>
          <w:rFonts w:ascii="Times New Roman" w:hAnsi="Times New Roman" w:cs="Times New Roman" w:eastAsia="Times New Roman"/>
          <w:b w:val="false"/>
          <w:sz w:val="26"/>
        </w:rPr>
        <w:t>Người sử dụng căn cứ văn bản nhận được từ Cục Tần số vô tuyến điện để bổ sung hồ sơ, nộp phí theo thông báo, sau đó nhận giấy phép tại nơi thu phí và lệ phí hoặc qua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đầy đủ,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mới gồm: + Bản khai đề nghị cấp Giấy phép sử dụng tần số và thiết bị vô tuyến điện theo mẫu 1k Phụ lục 2 của Thông tư số 05/2015/TT-BTTTT ngày 23/3/2015 của Bộ Thông tin và Truyền thông; + Văn bản đề nghị của cơ quan chủ quản đón đoàn.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gia hạn giấy phép gồm: Bản khai đề nghị cấp Giấy phép sử dụng tần số và thiết bị vô tuyến điện theo mẫu 1k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sửa đổi, bổ sung nội dung giấy phép gồm: + Bản khai đề nghị cấp Giấy phép sử dụng tần số và thiết bị vô tuyến điện theo mẫu 1k Phụ lục 2 của Thông tư số 05/2015/TT-BTTTT ngày 23/3/2015 của Bộ Thông tin và Truyền thông; + Các tài liệu giải thích nội dung cần sửa đổi, bổ sung (khi được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0, Giấy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05/2015/TT-BTTTT	</w:t>
            </w:r>
          </w:p>
        </w:tc>
        <w:tc>
          <w:p/>
          <w:p>
            <w:pPr>
              <w:spacing w:after="0" w:before="0" w:lineRule="auto" w:line="276"/>
              <w:jc w:val="left"/>
            </w:pPr>
            <w:r>
              <w:rPr>
                <w:rFonts w:ascii="Times New Roman" w:hAnsi="Times New Roman" w:cs="Times New Roman" w:eastAsia="Times New Roman"/>
                <w:b w:val="false"/>
                <w:sz w:val="26"/>
              </w:rPr>
              <w:t>Thông tư 05/2015/TT-BTTTT</w:t>
            </w:r>
          </w:p>
        </w:tc>
        <w:tc>
          <w:p/>
          <w:p>
            <w:pPr>
              <w:spacing w:after="0" w:before="0" w:lineRule="auto" w:line="276"/>
              <w:jc w:val="left"/>
            </w:pPr>
            <w:r>
              <w:rPr>
                <w:rFonts w:ascii="Times New Roman" w:hAnsi="Times New Roman" w:cs="Times New Roman" w:eastAsia="Times New Roman"/>
                <w:b w:val="false"/>
                <w:sz w:val="26"/>
              </w:rPr>
              <w:t>23-03-2015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 xml:space="preserve">41/2009/QH12 </w:t>
            </w:r>
          </w:p>
        </w:tc>
        <w:tc>
          <w:p/>
          <w:p>
            <w:pPr>
              <w:spacing w:after="0" w:before="0" w:lineRule="auto" w:line="276"/>
              <w:jc w:val="left"/>
            </w:pPr>
            <w:r>
              <w:rPr>
                <w:rFonts w:ascii="Times New Roman" w:hAnsi="Times New Roman" w:cs="Times New Roman" w:eastAsia="Times New Roman"/>
                <w:b w:val="false"/>
                <w:sz w:val="26"/>
              </w:rPr>
              <w:t>Luật số 41/2009/QH12 ngày 04/12/2009 của Quốc hội về viễn thông</w:t>
            </w:r>
          </w:p>
        </w:tc>
        <w:tc>
          <w:p/>
          <w:p>
            <w:pPr>
              <w:spacing w:after="0" w:before="0" w:lineRule="auto" w:line="276"/>
              <w:jc w:val="left"/>
            </w:pPr>
            <w:r>
              <w:rPr>
                <w:rFonts w:ascii="Times New Roman" w:hAnsi="Times New Roman" w:cs="Times New Roman" w:eastAsia="Times New Roman"/>
                <w:b w:val="false"/>
                <w:sz w:val="26"/>
              </w:rPr>
              <w:t>01-07-2010</w:t>
            </w:r>
          </w:p>
        </w:tc>
        <w:tc>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số 42/2009/QH12 ngày 04/12/2009 của Quốc hội về tần số vô tuyến điện</w:t>
            </w:r>
          </w:p>
        </w:tc>
        <w:tc>
          <w:p/>
          <w:p>
            <w:pPr>
              <w:spacing w:after="0" w:before="0" w:lineRule="auto" w:line="276"/>
              <w:jc w:val="left"/>
            </w:pPr>
            <w:r>
              <w:rPr>
                <w:rFonts w:ascii="Times New Roman" w:hAnsi="Times New Roman" w:cs="Times New Roman" w:eastAsia="Times New Roman"/>
                <w:b w:val="false"/>
                <w:sz w:val="26"/>
              </w:rPr>
              <w:t>01-07-2010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112/2013/TT-BTC</w:t>
            </w:r>
          </w:p>
        </w:tc>
        <w:tc>
          <w:p/>
          <w:p>
            <w:pPr>
              <w:spacing w:after="0" w:before="0" w:lineRule="auto" w:line="276"/>
              <w:jc w:val="left"/>
            </w:pPr>
            <w:r>
              <w:rPr>
                <w:rFonts w:ascii="Times New Roman" w:hAnsi="Times New Roman" w:cs="Times New Roman" w:eastAsia="Times New Roman"/>
                <w:b w:val="false"/>
                <w:sz w:val="26"/>
              </w:rPr>
              <w:t>Thông tư số 112/2013/TT-BTC ngày 15/8/2013 của Bộ Tài chính, 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01-01-2001</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cấp giấy phép sử dụng tần số và thiết bị vô tuyến điện: 
+ Sử dụng tần số và thiết bị vô tuyến điện vào mục đích và nghiệp vụ vô tuyến điện mà pháp luật không cấm;
+ Có giấy phép viễn thông theo quy định của pháp luật về viễn thông đối với tổ chức đề nghị cấp giấy phép sử dụng tần số vô tuyến điện để thiết lập mạng viễn thông, mạng truyền dẫn phát sóng phát thanh truyền hình.
+ Có giấy phép hoạt động báo chí hoặc được quyền phát lại chương trình phát thanh, truyền hình theo quy định của pháp luật.
+ Có phương án sử dụng tần số vô tuyến điện khả thi, phù hợp với quy hoạch tần số vô tuyến điện.
+ Có thiết bị vô tuyến điện phù hợp quy chuẩn kỹ thuật về phát xạ vô tuyến điện, an toàn bức xạ vô tuyến điện và tương thích điện từ.
+ Cam kết thực hiện quy định của pháp luật về bảo đảm an toàn, an ninh thông tin; kiểm tra, giải quyết nhiễu có hại và an toàn bức xạ vô tuyến điện.
+ Có chứng chỉ vô tuyến điện viên đối với người khai thác thiết bị vô tuyến điện thuộc nghiệp vụ di động hàng hải, di động hàng không, vô tuyến điện nghiệp dư.
2. Điều kiện gia hạn giấy phép sử dụng tần số vô tuyến điện:
+ Tổ chức, cá nhân được cấp giấy phép thực hiện đầy đủ nghĩa vụ được quy định cho từng loại giấy phép sử dụng tần số vô tuyến điện tương ứng;
+ Thời hạn hiệu lực của giấy phép còn lại ít nhất là 30 ngày; 
+ Tổng thời hạn cấp lần đầu và các lần gia hạn giấy phép không vượt quá thời hạn tối đa quy định cho từng loại giấy phép sử dụng tần số vô tuyến điện tương ứng; trường hợp cấp lần đầu bằng thời hạn tối đa quy định cho loại giấy phép tương ứng thì chỉ được xem xét gia hạn tối đa là một năm.
3. Điều kiện sửa đổi, bổ sung giấy phép sử dụng tần số vô tuyến điện: 
+ Giấy phép sử dụng tần số vô tuyến điện còn hiệu lực;
+ Tổ chức, cá nhân được cấp giấy phép thực hiện đầy đủ nghĩa vụ quy định cho từng loại giấy phép sử dụng tần số vô tuyến điện tương ứng;
+ Việc sửa đổi, bổ sung phải phù hợp với quy định tại các Điều 19, 20 và 21 của Luật Tần số vô tuyến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2026-05-19T14:23:16Z</dcterms:created>
  <dc:creator>Apache POI</dc:creator>
</cp:coreProperties>
</file>