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bố chất lượng dịch vụ phát thanh, truyền hình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Đơn vị cung cấp dịch vụ gửi hồ sơ công bố chất lượng dịch vụ phát thanh, truyền hình đến Cục Phát thanh, truyền hình và thông tin điện tử (Bộ VHTTDL).
- Trong thời hạn bốn (04) ngày kể từ khi nhận được hồ sơ công bố chất lượng dịch vụ của đơn vị cung cấp dịch vụ, Cục Phát thanh, truyền hình và thông tin điện tử có trách nhiệm:
+ Ban hành “Bản tiếp nhận công bố chất lượng dịch vụ phát thanh, truyền hình” trong trường hợp hồ sơ phù hợp theo mẫu quy định;
+ Trả lời đơn vị cung cấp dịch vụ bằng văn bản, nêu rõ lý do không ban hành “Bản tiếp nhận công bố chất lượng dịch vụ phát thanh, truyền hình” trong trường hợp hồ sơ không phù hợp. 
- Sau khi được cấp “Bản tiếp nhận công bố chất lượng dịch vụ phát thanh, truyền hình”, đơn vị cung cấp dịch vụ có trách nhiệm:
+ Công bố “Bản công bố chất lượng dịch vụ phát thanh, truyền hình” và “Danh mục các chỉ tiêu chất lượng dịch vụ phát thanh, truyền hình” trên trang thông tin điện tử của đơn vị theo quy định.
+ Niêm yết “Bản công bố chất lượng dịch vụ phát thanh, truyền hình” và “Danh mục các chỉ tiêu chất lượng dịch vụ phát thanh, truyền hình” tại nơi dễ dàng đọc được ở tất cả các điểm giao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về việc công bố chất lượng dịch vụ phát thanh, truyền hình</w:t>
            </w:r>
          </w:p>
        </w:tc>
        <w:tc>
          <w:p/>
          <w:p>
            <w:pPr>
              <w:spacing w:after="0" w:before="0" w:lineRule="auto" w:line="276"/>
              <w:jc w:val="left"/>
            </w:pPr>
            <w:r>
              <w:rPr>
                <w:rFonts w:ascii="Times New Roman" w:hAnsi="Times New Roman" w:cs="Times New Roman" w:eastAsia="Times New Roman"/>
                <w:b w:val="false"/>
                <w:sz w:val="26"/>
              </w:rPr>
              <w:t>PhlcI.doc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công bố chất lượng dịch vụ phát thanh, truyền hình</w:t>
            </w:r>
          </w:p>
        </w:tc>
        <w:tc>
          <w:p/>
          <w:p>
            <w:pPr>
              <w:spacing w:after="0" w:before="0" w:lineRule="auto" w:line="276"/>
              <w:jc w:val="left"/>
            </w:pPr>
            <w:r>
              <w:rPr>
                <w:rFonts w:ascii="Times New Roman" w:hAnsi="Times New Roman" w:cs="Times New Roman" w:eastAsia="Times New Roman"/>
                <w:b w:val="false"/>
                <w:sz w:val="26"/>
              </w:rPr>
              <w:t>PhlcII.doc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mục các chỉ tiêu chất lượng dịch vụ phát thanh, truyền hình.</w:t>
            </w:r>
          </w:p>
        </w:tc>
        <w:tc>
          <w:p/>
          <w:p>
            <w:pPr>
              <w:spacing w:after="0" w:before="0" w:lineRule="auto" w:line="276"/>
              <w:jc w:val="left"/>
            </w:pPr>
            <w:r>
              <w:rPr>
                <w:rFonts w:ascii="Times New Roman" w:hAnsi="Times New Roman" w:cs="Times New Roman" w:eastAsia="Times New Roman"/>
                <w:b w:val="false"/>
                <w:sz w:val="26"/>
              </w:rPr>
              <w:t>PhlcIII.doc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Phát thanh, truyền hình và thông tin điện tử  Số 115 Trần Duy Hưng, Cầu Giấy,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tiếp nhận công bố chất lượng dịch vụ phát thanh, truyền hình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72/2013/NĐ-CP</w:t>
            </w:r>
          </w:p>
        </w:tc>
        <w:tc>
          <w:p/>
          <w:p>
            <w:pPr>
              <w:spacing w:after="0" w:before="0" w:lineRule="auto" w:line="276"/>
              <w:jc w:val="left"/>
            </w:pPr>
            <w:r>
              <w:rPr>
                <w:rFonts w:ascii="Times New Roman" w:hAnsi="Times New Roman" w:cs="Times New Roman" w:eastAsia="Times New Roman"/>
                <w:b w:val="false"/>
                <w:sz w:val="26"/>
              </w:rPr>
              <w:t>Nghị định 72/2013/NĐ-CP</w:t>
            </w:r>
          </w:p>
        </w:tc>
        <w:tc>
          <w:p/>
          <w:p>
            <w:pPr>
              <w:spacing w:after="0" w:before="0" w:lineRule="auto" w:line="276"/>
              <w:jc w:val="left"/>
            </w:pPr>
            <w:r>
              <w:rPr>
                <w:rFonts w:ascii="Times New Roman" w:hAnsi="Times New Roman" w:cs="Times New Roman" w:eastAsia="Times New Roman"/>
                <w:b w:val="false"/>
                <w:sz w:val="26"/>
              </w:rPr>
              <w:t>15-07-2013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24/2016/TT-BTTTT</w:t>
            </w:r>
          </w:p>
        </w:tc>
        <w:tc>
          <w:p/>
          <w:p>
            <w:pPr>
              <w:spacing w:after="0" w:before="0" w:lineRule="auto" w:line="276"/>
              <w:jc w:val="left"/>
            </w:pPr>
            <w:r>
              <w:rPr>
                <w:rFonts w:ascii="Times New Roman" w:hAnsi="Times New Roman" w:cs="Times New Roman" w:eastAsia="Times New Roman"/>
                <w:b w:val="false"/>
                <w:sz w:val="26"/>
              </w:rPr>
              <w:t>Quy định về quản lý chất lượng dịch vụ phát thanh, truyền hình</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2026-05-26T21:07:34Z</dcterms:created>
  <dc:creator>Apache POI</dc:creator>
</cp:coreProperties>
</file>