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2.001743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5001/QĐ-BVHTTDL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phép hoạt động phát thanh, giấy phép hoạt động truyền hình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quan, tổ chức đề nghị cấp đổi giấy phép hoạt động phát thanh, giấy phép hoạt động truyền hình nộp hồ sơ về Bộ Văn hóa, Thể thao và Du lịch. 
- Bộ Văn hóa, Thể thao và Du lịch xem xét cấp đổi Giấy phép hoạt động phát thanh, giấy phép hoạt động truyền hình.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tối đa 90 (chín mươi)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tối đa 90 (chín mươi)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của cơ quan, tổ chức đề nghị cấp đổi giấy phép hoạt động phát thanh, giấy phép hoạt động truyền hình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của cơ quan, tổ chức</w:t>
            </w:r>
          </w:p>
        </w:tc>
        <w:tc>
          <w:p/>
          <w:p>
            <w:pPr>
              <w:spacing w:after="0" w:before="0" w:lineRule="auto" w:line="276"/>
              <w:jc w:val="left"/>
            </w:pPr>
            <w:r>
              <w:rPr>
                <w:rFonts w:ascii="Times New Roman" w:hAnsi="Times New Roman" w:cs="Times New Roman" w:eastAsia="Times New Roman"/>
                <w:b w:val="false"/>
                <w:sz w:val="26"/>
              </w:rPr>
              <w:t>Mẫu số 1. Tờ khai cấp giấy phép hoạt động PTTH.doc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của cơ quan chủ quản đối với tổ chức hoạt động phát thanh, truyền hình của tỉnh, thành phố trực thuộc Trung ương và Bộ,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hoạt động phát thanh, giấy phép hoạt động truyền hình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phát thanh/Giấy phép hoạt động truyền hình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103/2016/QH13	</w:t>
            </w:r>
          </w:p>
        </w:tc>
        <w:tc>
          <w:p/>
          <w:p>
            <w:pPr>
              <w:spacing w:after="0" w:before="0" w:lineRule="auto" w:line="276"/>
              <w:jc w:val="left"/>
            </w:pPr>
            <w:r>
              <w:rPr>
                <w:rFonts w:ascii="Times New Roman" w:hAnsi="Times New Roman" w:cs="Times New Roman" w:eastAsia="Times New Roman"/>
                <w:b w:val="false"/>
                <w:sz w:val="26"/>
              </w:rPr>
              <w:t>Luật 103/2016/QH13</w:t>
            </w:r>
          </w:p>
        </w:tc>
        <w:tc>
          <w:p/>
          <w:p>
            <w:pPr>
              <w:spacing w:after="0" w:before="0" w:lineRule="auto" w:line="276"/>
              <w:jc w:val="left"/>
            </w:pPr>
            <w:r>
              <w:rPr>
                <w:rFonts w:ascii="Times New Roman" w:hAnsi="Times New Roman" w:cs="Times New Roman" w:eastAsia="Times New Roman"/>
                <w:b w:val="false"/>
                <w:sz w:val="26"/>
              </w:rPr>
              <w:t>05-04-2016</w:t>
            </w:r>
          </w:p>
        </w:tc>
        <w:tc>
          <w:p/>
        </w:tc>
      </w:tr>
      <w:tr>
        <w:tc>
          <w:p/>
          <w:p>
            <w:pPr>
              <w:spacing w:after="0" w:before="0" w:lineRule="auto" w:line="276"/>
              <w:jc w:val="left"/>
            </w:pPr>
            <w:r>
              <w:rPr>
                <w:rFonts w:ascii="Times New Roman" w:hAnsi="Times New Roman" w:cs="Times New Roman" w:eastAsia="Times New Roman"/>
                <w:b w:val="false"/>
                <w:sz w:val="26"/>
              </w:rPr>
              <w:t>36/2016/TT-BTTTT</w:t>
            </w:r>
          </w:p>
        </w:tc>
        <w:tc>
          <w:p/>
          <w:p>
            <w:pPr>
              <w:spacing w:after="0" w:before="0" w:lineRule="auto" w:line="276"/>
              <w:jc w:val="left"/>
            </w:pPr>
            <w:r>
              <w:rPr>
                <w:rFonts w:ascii="Times New Roman" w:hAnsi="Times New Roman" w:cs="Times New Roman" w:eastAsia="Times New Roman"/>
                <w:b w:val="false"/>
                <w:sz w:val="26"/>
              </w:rPr>
              <w:t>ThoongThoong tư</w:t>
            </w:r>
          </w:p>
        </w:tc>
        <w:tc>
          <w:p/>
          <w:p>
            <w:pPr>
              <w:spacing w:after="0" w:before="0" w:lineRule="auto" w:line="276"/>
              <w:jc w:val="left"/>
            </w:pPr>
            <w:r>
              <w:rPr>
                <w:rFonts w:ascii="Times New Roman" w:hAnsi="Times New Roman" w:cs="Times New Roman" w:eastAsia="Times New Roman"/>
                <w:b w:val="false"/>
                <w:sz w:val="26"/>
              </w:rPr>
              <w:t>26-12-2016</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còn hiệu lực của giấy phép hoạt động phát thanh, giấy phép hoạt động truyền hình mà tổ chức hoạt động phát thanh, truyền hình đã được cấp theo quy định tại Thông tư số 07/2011/TT-BTTTT ngày 01 tháng 3 năm 2011 của Bộ trưởng Bộ Thông tin và Truyền thông, kể từ ngày Thông tư 36/2016/TT-BTTTT có hiệu lực, tổ chức hoạt động phát thanh, truyền hình thực hiện thủ tục đề nghị cấp đổi giấy phép hoạt động phát thanh, giấy phép hoạt động truyền hình.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2026-05-26T23:47:09Z</dcterms:created>
  <dc:creator>Apache POI</dc:creator>
</cp:coreProperties>
</file>