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vô tuyến điện của Cơ quan đại diện nước ngoài (trừ đài vệ tinh trái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Tổ chức, cá nhân nộp hồ sơ theo cách thức và đến địa chỉ tiếp nhận hồ sơ như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Trường hợp đặc biệt, khi hồ sơ đề nghị cấp, sửa đổi, bổ sung nội dung giấy phép sử dụng tần số vô tuyến điện của cùng một tổ chức, gửi trong vòng 20 ngày làm việc có số lượng tần số vô tuyến điện cần phải ấn định vượt quá 100 tần số thì trong thời hạn 5 ngày làm việc kể từ ngày nhận đủ hồ sơ theo quy định, Cục Tần số số vô tuyến điện thông báo bằng văn bản l‎‎ý do và dự kiến thời gian giải quyết (tối đa không quá 6 tháng) cho tổ chức đề nghị cấp giấy phép.</w:t>
      </w:r>
    </w:p>
    <w:p>
      <w:pPr>
        <w:spacing w:after="0" w:before="0" w:lineRule="auto" w:line="276"/>
        <w:jc w:val="both"/>
      </w:pPr>
      <w:r>
        <w:rPr>
          <w:rFonts w:ascii="Times New Roman" w:hAnsi="Times New Roman" w:cs="Times New Roman" w:eastAsia="Times New Roman"/>
          <w:b w:val="false"/>
          <w:sz w:val="26"/>
        </w:rPr>
        <w:t>+ Nếu hồ sơ chưa đầy đủ, chưa hợp lệ thì trong thời hạn 05 ngày làm việc kể từ ngày nhận được hồ sơ, Cục Tần số vô tuyến điện có trách nhiệm thông báo, hướng dẫn bằng văn bản cho tổ chức để bổ sung, hoàn thiện hồ sơ.</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trong thời hạn 20 ngày làm việc hoặc tối đa không quá 6 tháng đối với trường hợp đặc biệt.</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 Trả kế quả</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cấp Giấy phép sử dụng tần số và thiết bị vô tuyến điện theo mẫu tương ứng quy định tại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thiết lập mạng viễn thông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của Bộ Ngoại giao (đối với đài vô tuyến điện của cơ quan đại diện ngoại giao, cơ quan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cấp Giấy phép sử dụng tần số và thiết bị vô tuyến điện theo mẫu tương ứng quy định tại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thiết lập mạng viễn thông có liên quan (nếu giấy phép được cấp trước đây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sửa đổi,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tương ứng quy định tại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41/2009/QH12 </w:t>
            </w:r>
          </w:p>
        </w:tc>
        <w:tc>
          <w:p/>
          <w:p>
            <w:pPr>
              <w:spacing w:after="0" w:before="0" w:lineRule="auto" w:line="276"/>
              <w:jc w:val="left"/>
            </w:pPr>
            <w:r>
              <w:rPr>
                <w:rFonts w:ascii="Times New Roman" w:hAnsi="Times New Roman" w:cs="Times New Roman" w:eastAsia="Times New Roman"/>
                <w:b w:val="false"/>
                <w:sz w:val="26"/>
              </w:rPr>
              <w:t>Luật số 41/2009/QH12 ngày 04/12/2009 của Quốc hội về viễn thông</w:t>
            </w:r>
          </w:p>
        </w:tc>
        <w:tc>
          <w:p/>
          <w:p>
            <w:pPr>
              <w:spacing w:after="0" w:before="0" w:lineRule="auto" w:line="276"/>
              <w:jc w:val="left"/>
            </w:pPr>
            <w:r>
              <w:rPr>
                <w:rFonts w:ascii="Times New Roman" w:hAnsi="Times New Roman" w:cs="Times New Roman" w:eastAsia="Times New Roman"/>
                <w:b w:val="false"/>
                <w:sz w:val="26"/>
              </w:rPr>
              <w:t>01-07-2010</w:t>
            </w:r>
          </w:p>
        </w:tc>
        <w:tc>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giấy phép hoạt động báo chí hoặc được quyền phát lại chương trình phát thanh, truyền hình theo quy định của pháp luật.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toán, an ninh thông tin; kiểm tra, giải quyết nhiễu có hại và an toàn bức xạ vô tuyến điện.
        + Có chứng chỉ vô tuyến điện viên đối với người khai thác thiết bị vô tuyến điện thuộc nghiệp vụ di động hàng hải, di động hàng không, vô tuyến điện nghiệp dư.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2026-05-19T14:16:08Z</dcterms:created>
  <dc:creator>Apache POI</dc:creator>
</cp:coreProperties>
</file>