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nhận hợp quy, cấp lại giấy chứng nhận hợp quy áp dụng đối với sản phẩm sản xuất trong nước của các đơn vị chưa có chứng chỉ chứng nhận hệ thống quản lý chất lượng sản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1.Tổ chức, cá nhân lập hồ sơ đề nghị chứng nhận hợp quy theo quy định tại khoản 1 Điều 14 của Thông tư 30/2011/TT-BTTTT ngày 31/10/2011 được sửa đổi, bổ sung tại Thông tư số 15/2018/TT-BTTTT và gửi hồ sơ đến Tổ chức chứng nhận hợp quy.</w:t>
      </w:r>
    </w:p>
    <w:p>
      <w:pPr>
        <w:spacing w:after="0" w:before="0" w:lineRule="auto" w:line="276"/>
        <w:jc w:val="both"/>
      </w:pPr>
      <w:r>
        <w:rPr>
          <w:rFonts w:ascii="Times New Roman" w:hAnsi="Times New Roman" w:cs="Times New Roman" w:eastAsia="Times New Roman"/>
          <w:b w:val="false"/>
          <w:sz w:val="26"/>
        </w:rPr>
        <w:t>2.Tổ chức chứng nhận hợp quy thực hiện việc đánh giá quá trình sản xuất và đảm bảo chất lượng, niêm phong mẫu sản phẩm (ghi rõ ngày lấy mẫu trên dấu niêm phong).</w:t>
      </w:r>
    </w:p>
    <w:p>
      <w:pPr>
        <w:spacing w:after="0" w:before="0" w:lineRule="auto" w:line="276"/>
        <w:jc w:val="both"/>
      </w:pPr>
      <w:r>
        <w:rPr>
          <w:rFonts w:ascii="Times New Roman" w:hAnsi="Times New Roman" w:cs="Times New Roman" w:eastAsia="Times New Roman"/>
          <w:b w:val="false"/>
          <w:sz w:val="26"/>
        </w:rPr>
        <w:t>3.Số lượng mẫu phải đủ theo yêu cầu của phép đo quy định tại quy chuẩn kỹ thuật tương ứng.</w:t>
      </w:r>
    </w:p>
    <w:p>
      <w:pPr>
        <w:spacing w:after="0" w:before="0" w:lineRule="auto" w:line="276"/>
        <w:jc w:val="both"/>
      </w:pPr>
      <w:r>
        <w:rPr>
          <w:rFonts w:ascii="Times New Roman" w:hAnsi="Times New Roman" w:cs="Times New Roman" w:eastAsia="Times New Roman"/>
          <w:b w:val="false"/>
          <w:sz w:val="26"/>
        </w:rPr>
        <w:t>4.Tổ chức, cá nhân thực hiện việc đo kiểm mẫu sản phẩm đã được niêm phong tại các đơn vị đo kiểm có đủ thẩm quyền theo quy định tại khoản 1 Điều 5 của Thông tư số 30/2011/TT-BTTTT.</w:t>
      </w:r>
    </w:p>
    <w:p>
      <w:pPr>
        <w:spacing w:after="0" w:before="0" w:lineRule="auto" w:line="276"/>
        <w:jc w:val="both"/>
      </w:pPr>
      <w:r>
        <w:rPr>
          <w:rFonts w:ascii="Times New Roman" w:hAnsi="Times New Roman" w:cs="Times New Roman" w:eastAsia="Times New Roman"/>
          <w:b w:val="false"/>
          <w:sz w:val="26"/>
        </w:rPr>
        <w:t>5.Tổ chức chứng nhận hợp quy đánh giá và cấp Giấy chứng nhận hợp quy không quá 07 (bảy) ngày làm việc kể từ khi nhận đủ hồ sơ hợp lệ theo quy định.Trường hợp không cấp giấy chứng nhận hợp quy, Tổ chức chứng nhận hợp quy có trách nhiệm thông báo bằng văn bản cho tổ chức, cá nhân đề nghị chứng nhận và nêu rõ lý do.</w:t>
      </w:r>
    </w:p>
    <w:p>
      <w:pPr>
        <w:spacing w:after="0" w:before="0" w:lineRule="auto" w:line="276"/>
        <w:jc w:val="both"/>
      </w:pPr>
      <w:r>
        <w:rPr>
          <w:rFonts w:ascii="Times New Roman" w:hAnsi="Times New Roman" w:cs="Times New Roman" w:eastAsia="Times New Roman"/>
          <w:b w:val="false"/>
          <w:sz w:val="26"/>
        </w:rPr>
        <w:t>6.Đối với trường hợp cấp lại giấy chứng nhận hợp quy: tổ chức, cá nhân phải thực hiện lại thủ tục chứng nhận hợp quy trong các trường hợp quy định tại Điều 22 của Thông tư 30/2011/TT-BTTTT được sửa đổi, bổ sung tại Thông tư số 15/2018/TT-BTTTT, trình tự thực hiện giống như đăng ký đề nghị cấp mới giấy chứng nhận hợp quy.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(Theo thỏa thuận)</w:t>
            </w:r>
          </w:p>
        </w:tc>
        <w:tc>
          <w:p/>
          <w:p>
            <w:pPr>
              <w:spacing w:after="0" w:before="0" w:lineRule="auto" w:line="276"/>
              <w:jc w:val="left"/>
            </w:pPr>
            <w:r>
              <w:rPr>
                <w:rFonts w:ascii="Times New Roman" w:hAnsi="Times New Roman" w:cs="Times New Roman" w:eastAsia="Times New Roman"/>
                <w:b w:val="false"/>
                <w:sz w:val="26"/>
              </w:rPr>
              <w:t>-Trực tiếp (tới địa chỉ do Cục Viễn thông đăng tải trên Trang thông tin điện tử của Cục Viễn thông: vnta.gov.vn)
-10 ngày làm việc kể từ khi nhận đủ hồ sơ theo quy định
Trong những trường hợp đặc biệt, khi việc chứng nhận hợp quy đòi hỏi thời gian dài hơn quy định tại khoản 2 Điều 13 Thông tư 30/2011/TT-BTTTT, Tổ chức chứng nhận hợp quy có trách nhiệm thông báo bằng văn bản cho tổ chức, cá nhân đề nghị chứng nhận biết lý do. Thời gian đánh giá và cấp Giấy chứng nhận hợp quy tối đa là không quá ba mươi (30)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(Theo thỏa thuận)</w:t>
            </w:r>
          </w:p>
        </w:tc>
        <w:tc>
          <w:p/>
          <w:p>
            <w:pPr>
              <w:spacing w:after="0" w:before="0" w:lineRule="auto" w:line="276"/>
              <w:jc w:val="left"/>
            </w:pPr>
            <w:r>
              <w:rPr>
                <w:rFonts w:ascii="Times New Roman" w:hAnsi="Times New Roman" w:cs="Times New Roman" w:eastAsia="Times New Roman"/>
                <w:b w:val="false"/>
                <w:sz w:val="26"/>
              </w:rPr>
              <w:t>-Trực tiếp (tới địa chỉ do Cục Viễn thông đăng tải trên Trang thông tin điện tử của Cục Viễn thông: vnta.gov.vn)
-10 ngày làm việc kể từ khi nhận đủ hồ sơ theo quy định
Trong những trường hợp đặc biệt, khi việc chứng nhận hợp quy đòi hỏi thời gian dài hơn quy định tại khoản 2 Điều 13 Thông tư 30/2011/TT-BTTTT, Tổ chức chứng nhận hợp quy có trách nhiệm thông báo bằng văn bản cho tổ chức, cá nhân đề nghị chứng nhận biết lý do. Thời gian đánh giá và cấp Giấy chứng nhận hợp quy tối đa là không quá ba mươi (30)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(Theo thỏa thuận)</w:t>
            </w:r>
          </w:p>
        </w:tc>
        <w:tc>
          <w:p/>
          <w:p>
            <w:pPr>
              <w:spacing w:after="0" w:before="0" w:lineRule="auto" w:line="276"/>
              <w:jc w:val="left"/>
            </w:pPr>
            <w:r>
              <w:rPr>
                <w:rFonts w:ascii="Times New Roman" w:hAnsi="Times New Roman" w:cs="Times New Roman" w:eastAsia="Times New Roman"/>
                <w:b w:val="false"/>
                <w:sz w:val="26"/>
              </w:rPr>
              <w:t>-Trực tiếp (tới địa chỉ do Cục Viễn thông đăng tải trên Trang thông tin điện tử của Cục Viễn thông: vnta.gov.vn)
-10 ngày làm việc kể từ khi nhận đủ hồ sơ theo quy định
Trong những trường hợp đặc biệt, khi việc chứng nhận hợp quy đòi hỏi thời gian dài hơn quy định tại khoản 2 Điều 13 Thông tư 30/2011/TT-BTTTT, Tổ chức chứng nhận hợp quy có trách nhiệm thông báo bằng văn bản cho tổ chức, cá nhân đề nghị chứng nhận biết lý do. Thời gian đánh giá và cấp Giấy chứng nhận hợp quy tối đa là không quá ba mươi (30)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chứng nhận hợp quy (theo Mẫu số 01 tại Phụ lục ban hành kèm theo Thông tư số 15/2018/TT-BTTTT</w:t>
            </w:r>
          </w:p>
        </w:tc>
        <w:tc>
          <w:p/>
          <w:p>
            <w:pPr>
              <w:spacing w:after="0" w:before="0" w:lineRule="auto" w:line="276"/>
              <w:jc w:val="left"/>
            </w:pPr>
            <w:r>
              <w:rPr>
                <w:rFonts w:ascii="Times New Roman" w:hAnsi="Times New Roman" w:cs="Times New Roman" w:eastAsia="Times New Roman"/>
                <w:b w:val="false"/>
                <w:sz w:val="26"/>
              </w:rPr>
              <w:t>Mẫu đề nghị chứng nhận hợp quy.doc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tư cách pháp nhân: Trường hợp tổ chức chưa có mã số doanh nghiệp hoặc cá nhân chưa có số định danh cá nhân thì tổ chức, cá nhân nộp kèm theo hồ sơ đề nghị chứng nhận hợp quy bản sao có chứng thực hoặc bản sao kèm theo bản gốc để đối chiếu một trong các loại giấy tờ sau: + Giấy chứng nhận đăng ký kinh doanh; Quyết định/Giấy phép thành lập, Giấy chứng nhận đầu tư/Giấy phép đầu tư (đối với tổ chức chưa có mã số doanh nghiệp); + Chứng minh nhân dân/ hộ chiếu (đối với cá nhân chưa có số định danh cá nhân). Tổ chức, cá nhân chỉ nộp thành phần hồ sơ này khi thực hiện công bố hợp quy lần đầu hoặc các giấy tờ nêu trên có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đo kiểm sản phẩm của đơn vị đo kiểm quy định tại khoản 1 Điều 5 Thông tư số 30/2011/TT-BTTTT cấp cho tổ chức, cá nhân hoặc nhà sản xuất hoặc đại diện được ủy quyền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bằng tiếng Việt hoặc tiếng Anh của sản phẩm thể hiện đầy đủ các nội dung: Tên, ký hiệu và các thông tin kỹ thuật của sản phẩm, ảnh chụp bên ngoài, hãng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trình sản xuất và giám sát đảm bảo chất lượng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chỉ do Cục Viễn thông đăng tải trên Trang thông tin điện tử của Cục Viễn thông: vnta.gov.vn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41/2009/QH12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25/2011/NĐ-CP</w:t>
            </w:r>
          </w:p>
        </w:tc>
        <w:tc>
          <w:p/>
          <w:p>
            <w:pPr>
              <w:spacing w:after="0" w:before="0" w:lineRule="auto" w:line="276"/>
              <w:jc w:val="left"/>
            </w:pPr>
            <w:r>
              <w:rPr>
                <w:rFonts w:ascii="Times New Roman" w:hAnsi="Times New Roman" w:cs="Times New Roman" w:eastAsia="Times New Roman"/>
                <w:b w:val="false"/>
                <w:sz w:val="26"/>
              </w:rPr>
              <w:t>Nghị định 25/2011/NĐ-CP</w:t>
            </w:r>
          </w:p>
        </w:tc>
        <w:tc>
          <w:p/>
          <w:p>
            <w:pPr>
              <w:spacing w:after="0" w:before="0" w:lineRule="auto" w:line="276"/>
              <w:jc w:val="left"/>
            </w:pPr>
            <w:r>
              <w:rPr>
                <w:rFonts w:ascii="Times New Roman" w:hAnsi="Times New Roman" w:cs="Times New Roman" w:eastAsia="Times New Roman"/>
                <w:b w:val="false"/>
                <w:sz w:val="26"/>
              </w:rPr>
              <w:t>06-04-2011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30/2011/TT-BTTTT</w:t>
            </w:r>
          </w:p>
        </w:tc>
        <w:tc>
          <w:p/>
          <w:p>
            <w:pPr>
              <w:spacing w:after="0" w:before="0" w:lineRule="auto" w:line="276"/>
              <w:jc w:val="left"/>
            </w:pPr>
            <w:r>
              <w:rPr>
                <w:rFonts w:ascii="Times New Roman" w:hAnsi="Times New Roman" w:cs="Times New Roman" w:eastAsia="Times New Roman"/>
                <w:b w:val="false"/>
                <w:sz w:val="26"/>
              </w:rPr>
              <w:t>Thông tư 30/2011/TT-BTTTT</w:t>
            </w:r>
          </w:p>
        </w:tc>
        <w:tc>
          <w:p/>
          <w:p>
            <w:pPr>
              <w:spacing w:after="0" w:before="0" w:lineRule="auto" w:line="276"/>
              <w:jc w:val="left"/>
            </w:pPr>
            <w:r>
              <w:rPr>
                <w:rFonts w:ascii="Times New Roman" w:hAnsi="Times New Roman" w:cs="Times New Roman" w:eastAsia="Times New Roman"/>
                <w:b w:val="false"/>
                <w:sz w:val="26"/>
              </w:rPr>
              <w:t>31-10-2011</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15/2018/TT-BTTTT</w:t>
            </w:r>
          </w:p>
        </w:tc>
        <w:tc>
          <w:p/>
          <w:p>
            <w:pPr>
              <w:spacing w:after="0" w:before="0" w:lineRule="auto" w:line="276"/>
              <w:jc w:val="left"/>
            </w:pPr>
            <w:r>
              <w:rPr>
                <w:rFonts w:ascii="Times New Roman" w:hAnsi="Times New Roman" w:cs="Times New Roman" w:eastAsia="Times New Roman"/>
                <w:b w:val="false"/>
                <w:sz w:val="26"/>
              </w:rPr>
              <w:t>Thông tư 15/2018/TT-BTTTT</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Chứng nhận hợp quy đối với thiết bị vô tuyến điện phải phù hợp với các quy hoạch tần số vô tuyến điện và bảo đảm các quy định quản lý về chất lượng phát xạ, an toàn bức xạ vô tuyến điện và tương thích điện từ theo quy định của pháp luật.
- Ngoài việc tuân thủ Thông tư số 30/2011/TT-BTTTT được sửa đổi, bổ sung tại Thông tư 15/2018/TT-BTTTT về chứng nhận và công bố hợp quy, các thiết bị vô tuyến điện khi sử dụng trên lãnh thổ Việt Nam còn phải có Giấy phép sử dụng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2026-05-26T20:06:24Z</dcterms:created>
  <dc:creator>Apache POI</dc:creator>
</cp:coreProperties>
</file>