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thiết bị vô tuyến điện đối với đài vô tuyến điện liên lạc với phương tiện nghề cá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chuẩn bị hồ sơ</w:t>
      </w:r>
    </w:p>
    <w:p>
      <w:pPr>
        <w:spacing w:after="0" w:before="0" w:lineRule="auto" w:line="276"/>
        <w:jc w:val="both"/>
      </w:pPr>
      <w:r>
        <w:rPr>
          <w:rFonts w:ascii="Times New Roman" w:hAnsi="Times New Roman" w:cs="Times New Roman" w:eastAsia="Times New Roman"/>
          <w:b w:val="false"/>
          <w:sz w:val="26"/>
        </w:rPr>
        <w:t>Tổ chức, cá nhân chuẩn bị hồ sơ theo thành phần, số lượng hướng dẫn dưới đây.</w:t>
      </w:r>
    </w:p>
    <w:p>
      <w:pPr>
        <w:shd w:val="clear" w:color="auto" w:fill="F2F6F9"/>
        <w:spacing w:after="0" w:before="120" w:lineRule="auto" w:line="276"/>
        <w:jc w:val="both"/>
      </w:pPr>
      <w:r>
        <w:rPr>
          <w:rFonts w:ascii="Times New Roman" w:hAnsi="Times New Roman" w:cs="Times New Roman" w:eastAsia="Times New Roman"/>
          <w:b w:val="true"/>
          <w:sz w:val="26"/>
        </w:rPr>
        <w:t>2. Nộp hồ sơ</w:t>
      </w:r>
    </w:p>
    <w:p>
      <w:pPr>
        <w:spacing w:after="0" w:before="0" w:lineRule="auto" w:line="276"/>
        <w:jc w:val="both"/>
      </w:pPr>
      <w:r>
        <w:rPr>
          <w:rFonts w:ascii="Times New Roman" w:hAnsi="Times New Roman" w:cs="Times New Roman" w:eastAsia="Times New Roman"/>
          <w:b w:val="false"/>
          <w:sz w:val="26"/>
        </w:rPr>
        <w:t>Tổ chức, cá nhân nộp hồ sơ theo cách thức và đến địa chỉ tiếp nhận hồ sơ như dưới đây</w:t>
      </w:r>
    </w:p>
    <w:p>
      <w:pPr>
        <w:shd w:val="clear" w:color="auto" w:fill="F2F6F9"/>
        <w:spacing w:after="0" w:before="120" w:lineRule="auto" w:line="276"/>
        <w:jc w:val="both"/>
      </w:pPr>
      <w:r>
        <w:rPr>
          <w:rFonts w:ascii="Times New Roman" w:hAnsi="Times New Roman" w:cs="Times New Roman" w:eastAsia="Times New Roman"/>
          <w:b w:val="true"/>
          <w:sz w:val="26"/>
        </w:rPr>
        <w:t>3. Thẩm định và thụ lí hồ sơ</w:t>
      </w:r>
    </w:p>
    <w:p>
      <w:pPr>
        <w:spacing w:after="0" w:before="0" w:lineRule="auto" w:line="276"/>
        <w:jc w:val="both"/>
      </w:pPr>
      <w:r>
        <w:rPr>
          <w:rFonts w:ascii="Times New Roman" w:hAnsi="Times New Roman" w:cs="Times New Roman" w:eastAsia="Times New Roman"/>
          <w:b w:val="false"/>
          <w:sz w:val="26"/>
        </w:rPr>
        <w:t>Cục Tần số vô tuyến điện thụ lý hồ sơ cấp phép:</w:t>
      </w:r>
    </w:p>
    <w:p>
      <w:pPr>
        <w:spacing w:after="0" w:before="0" w:lineRule="auto" w:line="276"/>
        <w:jc w:val="both"/>
      </w:pPr>
      <w:r>
        <w:rPr>
          <w:rFonts w:ascii="Times New Roman" w:hAnsi="Times New Roman" w:cs="Times New Roman" w:eastAsia="Times New Roman"/>
          <w:b w:val="false"/>
          <w:sz w:val="26"/>
        </w:rPr>
        <w:t>+ Cục Tần số vô tuyến điện giải quyết cấp, gia hạn, sửa đổi, bổ sung nội dung giấy phép trong thời hạn 20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xml:space="preserve">+ Nếu hồ sơ chưa đầy đủ, chưa hợp lệ thì trong thời hạn 05 ngày làm việc kể từ ngày nhận được hồ sơ, Cục Tần số vô tuyến điện có trách nhiệm thông báo, hướng dẫn bằng văn bản cho tổ chức, cá nhân để bổ sung, hoàn thiện hồ sơ. </w:t>
      </w:r>
    </w:p>
    <w:p>
      <w:pPr>
        <w:spacing w:after="0" w:before="0" w:lineRule="auto" w:line="276"/>
        <w:jc w:val="both"/>
      </w:pPr>
      <w:r>
        <w:rPr>
          <w:rFonts w:ascii="Times New Roman" w:hAnsi="Times New Roman" w:cs="Times New Roman" w:eastAsia="Times New Roman"/>
          <w:b w:val="false"/>
          <w:sz w:val="26"/>
        </w:rPr>
        <w:t>+ Trường hợp từ chối cấp giấy phép, Cục Tần số vô tuyến điện thông báo bằng văn bản nêu rõ lý do từ chối cho tổ chức, cá nhân trong thời hạn 20 ngày làm việc.</w:t>
      </w:r>
    </w:p>
    <w:p>
      <w:pPr>
        <w:spacing w:after="0" w:before="0" w:lineRule="auto" w:line="276"/>
        <w:jc w:val="both"/>
      </w:pPr>
      <w:r>
        <w:rPr>
          <w:rFonts w:ascii="Times New Roman" w:hAnsi="Times New Roman" w:cs="Times New Roman" w:eastAsia="Times New Roman"/>
          <w:b w:val="false"/>
          <w:sz w:val="26"/>
        </w:rPr>
        <w:t>+ Đối với trường hợp phải thay đổi tần số do không xử lý được nhiễu có hại, thời hạn giải quyết cấp giấy phép không quá 10 ngày làm việc kể từ ngày có kết luận về xử lý nhiễu có hại.</w:t>
      </w:r>
    </w:p>
    <w:p>
      <w:pPr>
        <w:shd w:val="clear" w:color="auto" w:fill="F2F6F9"/>
        <w:spacing w:after="0" w:before="120" w:lineRule="auto" w:line="276"/>
        <w:jc w:val="both"/>
      </w:pPr>
      <w:r>
        <w:rPr>
          <w:rFonts w:ascii="Times New Roman" w:hAnsi="Times New Roman" w:cs="Times New Roman" w:eastAsia="Times New Roman"/>
          <w:b w:val="true"/>
          <w:sz w:val="26"/>
        </w:rPr>
        <w:t>4. Trả kế quả</w:t>
      </w:r>
    </w:p>
    <w:p>
      <w:pPr>
        <w:spacing w:after="0" w:before="0" w:lineRule="auto" w:line="276"/>
        <w:jc w:val="both"/>
      </w:pPr>
      <w:r>
        <w:rPr>
          <w:rFonts w:ascii="Times New Roman" w:hAnsi="Times New Roman" w:cs="Times New Roman" w:eastAsia="Times New Roman"/>
          <w:b w:val="false"/>
          <w:sz w:val="26"/>
        </w:rPr>
        <w:t>Tổ chức, cá nhân nộp phí theo thông báo; sau đó nhận giấy phép tại nơi thu phí và lệ phí; hoặc qua hệ thống bưu chính; hoặc nhận giấy phép điện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1i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minh nhân dân hoặc Hộ chiếu còn thời hạn đối với cá nhân đề nghị cấp giấy phép; trường hợp nộp hồ sơ trực tiếp có thể nộp bản sao và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Hoặc bản sao có chứng thực Giấy chứng nhận đăng ký hộ kinh doanh đơi với hộ kinh doanh đề nghị cấp giấy phép; trường hợp nộp hồ sơ trực tiếp có thể nộp bản sao và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gia hạn giấy phép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1i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sửa đổi, bổ sung nội dung giấy phép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1i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 Cục Tần số vô tuyến điện. Số 115 đường Trần Duy Hưng, phường Trung Hòa, quận Cầu Giấy, Thành phố Hà Nội;  - Hoặc các Trung tâm Tần số vô tuyến điện khu vực thuộc Cục Tần số vô tuyến điện. Xem địa chỉ tại đây: http://www.rfd.gov.vn/gioi-thieu/co-cau-to-chuc/pages/cac-trung-tam.aspx;  - Hoặc các cơ quan phối hợp khác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sử dụng tần số và thiết bị vô tuyến điện
       + Sử dụng tần số và thiết bị vô tuyến điện vào mục đích và nghiệp vụ vô tuyến điện mà pháp luật không cấm;
        + Có phương án sử dụng tần số vô tuyến điện khả thi, phù hợp với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toàn, an ninh thông tin; kiểm tra, giải quyết nhiễu có hại và an toàn bức xạ vô tuyến điện.
-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2026-05-19T14:35:21Z</dcterms:created>
  <dc:creator>Apache POI</dc:creator>
</cp:coreProperties>
</file>