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1.004146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2302/QĐ-BVHTTDL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đăng ký nhập khẩu xuất bản phẩm để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Bản, In và Phát hành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Việc nhập khẩu xuất bản phẩm để kinh doanh phải do cơ sở nhập khẩu xuất bản phẩm thực hiện.</w:t>
      </w:r>
    </w:p>
    <w:p>
      <w:pPr>
        <w:spacing w:after="0" w:before="0" w:lineRule="auto" w:line="276"/>
        <w:jc w:val="both"/>
      </w:pPr>
      <w:r>
        <w:rPr>
          <w:rFonts w:ascii="Times New Roman" w:hAnsi="Times New Roman" w:cs="Times New Roman" w:eastAsia="Times New Roman"/>
          <w:b w:val="false"/>
          <w:sz w:val="26"/>
        </w:rPr>
        <w:t>- Trước khi nhập khẩu, cơ sở nhập khẩu xuất bản phẩm phải lập hồ sơ đăng ký nhập khẩu gửi Cục Xuất bản, In và Phát hành (Bộ Văn hóa, Thể thao và Du lịch) và nộp lệ phí theo quy định của pháp luật.</w:t>
      </w:r>
    </w:p>
    <w:p>
      <w:pPr>
        <w:spacing w:after="0" w:before="0" w:lineRule="auto" w:line="276"/>
        <w:jc w:val="both"/>
      </w:pPr>
      <w:r>
        <w:rPr>
          <w:rFonts w:ascii="Times New Roman" w:hAnsi="Times New Roman" w:cs="Times New Roman" w:eastAsia="Times New Roman"/>
          <w:b w:val="false"/>
          <w:sz w:val="26"/>
        </w:rPr>
        <w:t>- Trong thời hạn 15 ngày kể từ ngày nhận được hồ sơ đăng ký nhập khẩu xuất bản phẩm, Cục Xuất bản, In và Phát hành xác nhận đăng ký bằng văn bản; trường hợp không xác nhận đăng ký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25.000 Đồng</w:t>
              <w:t xml:space="preserve"> (25.000 đồng/hồ sơ (theo quy định tại Thông tư số 64/2025/TT-BTC ngày 30/6/2025 của Bộ trưởng Bộ Tài chính))</w:t>
              <w:br/>
              <w:t>File đính kèm: TT64.2025.TT-BTC.pdf</w:t>
            </w:r>
          </w:p>
        </w:tc>
        <w:tc>
          <w:p/>
          <w:p>
            <w:pPr>
              <w:spacing w:after="0" w:before="0" w:lineRule="auto" w:line="276"/>
              <w:jc w:val="left"/>
            </w:pPr>
            <w:r>
              <w:rPr>
                <w:rFonts w:ascii="Times New Roman" w:hAnsi="Times New Roman" w:cs="Times New Roman" w:eastAsia="Times New Roman"/>
                <w:b w:val="false"/>
                <w:sz w:val="26"/>
              </w:rPr>
              <w:t>Nộp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25.000 Đồng</w:t>
              <w:t xml:space="preserve"> (25.000 đồng/hồ sơ (theo quy định tại Thông tư số 64/2025/TT-BTC ngày 30/6/2025 của Bộ trưởng Bộ Tài chính))</w:t>
              <w:br/>
              <w:t>File đính kèm: TT64.2025.TT-BTC.pdf</w:t>
            </w:r>
          </w:p>
        </w:tc>
        <w:tc>
          <w:p/>
          <w:p>
            <w:pPr>
              <w:spacing w:after="0" w:before="0" w:lineRule="auto" w:line="276"/>
              <w:jc w:val="left"/>
            </w:pPr>
            <w:r>
              <w:rPr>
                <w:rFonts w:ascii="Times New Roman" w:hAnsi="Times New Roman" w:cs="Times New Roman" w:eastAsia="Times New Roman"/>
                <w:b w:val="false"/>
                <w:sz w:val="26"/>
              </w:rPr>
              <w:t>Gửi trực tuyến qua Cổng Thông tin một cửa Quốc gia (Trong trường hợp hệ thống trên gặp sự cố, nộp qua Cổng dịch vụ công quốc gia hoặc Cổng dịch vụ công Bộ Văn hóa, Thể thao và Du lịch)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Lệ phí : 25.000 Đồng</w:t>
              <w:t xml:space="preserve"> (25.000 đồng/hồ sơ (theo quy định tại Thông tư số 64/2025/TT-BTC ngày 30/6/2025 của Bộ trưởng Bộ Tài chính))</w:t>
              <w:br/>
              <w:t>File đính kèm: TT64.2025.TT-BTC.pdf</w:t>
            </w:r>
          </w:p>
        </w:tc>
        <w:tc>
          <w:p/>
          <w:p>
            <w:pPr>
              <w:spacing w:after="0" w:before="0" w:lineRule="auto" w:line="276"/>
              <w:jc w:val="left"/>
            </w:pPr>
            <w:r>
              <w:rPr>
                <w:rFonts w:ascii="Times New Roman" w:hAnsi="Times New Roman" w:cs="Times New Roman" w:eastAsia="Times New Roman"/>
                <w:b w:val="false"/>
                <w:sz w:val="26"/>
              </w:rPr>
              <w:t>- Nộp qua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nhập khẩu xuất bản phẩm để kinh doanh theo (Mẫu số 26  Phụ lục kèm theo Thông tư số 23/2023/TT-BTTTT)</w:t>
            </w:r>
          </w:p>
        </w:tc>
        <w:tc>
          <w:p/>
          <w:p>
            <w:pPr>
              <w:spacing w:after="0" w:before="0" w:lineRule="auto" w:line="276"/>
              <w:jc w:val="left"/>
            </w:pPr>
            <w:r>
              <w:rPr>
                <w:rFonts w:ascii="Times New Roman" w:hAnsi="Times New Roman" w:cs="Times New Roman" w:eastAsia="Times New Roman"/>
                <w:b w:val="false"/>
                <w:sz w:val="26"/>
              </w:rPr>
              <w:t>Mus26-nngkNKXBPKD.doc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Ba (03) bản danh mục xuất bản phẩm đăng ký nhập khẩu trong trường hợp  nộp trực tiếp hoặc nộp qua dịch vụ bưu chính</w:t>
            </w:r>
          </w:p>
        </w:tc>
        <w:tc>
          <w:p/>
          <w:p>
            <w:pPr>
              <w:spacing w:after="0" w:before="0" w:lineRule="auto" w:line="276"/>
              <w:jc w:val="left"/>
            </w:pPr>
            <w:r>
              <w:rPr>
                <w:rFonts w:ascii="Times New Roman" w:hAnsi="Times New Roman" w:cs="Times New Roman" w:eastAsia="Times New Roman"/>
                <w:b w:val="false"/>
                <w:sz w:val="26"/>
              </w:rPr>
              <w:t>Mus27-DanhmcXBPNKKD.doc</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(01) bản (tệp) danh mục xuất bản  phẩm đăng ký nhập khẩu trong trường hợp nộp trực tuyến trên Cổng thông tin một  cửa quốc gia.</w:t>
            </w:r>
          </w:p>
        </w:tc>
        <w:tc>
          <w:p/>
          <w:p>
            <w:pPr>
              <w:spacing w:after="0" w:before="0" w:lineRule="auto" w:line="276"/>
              <w:jc w:val="left"/>
            </w:pPr>
            <w:r>
              <w:rPr>
                <w:rFonts w:ascii="Times New Roman" w:hAnsi="Times New Roman" w:cs="Times New Roman" w:eastAsia="Times New Roman"/>
                <w:b w:val="false"/>
                <w:sz w:val="26"/>
              </w:rPr>
              <w:t>Mus27-DanhmcXBPNKKD.doc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Xuất bản, In và Phát hành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Xuất bản, In và Phát hành  Số 10 Đường Thành, phường Hoàn Kiếm,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đăng ký nhập khẩu xuất bản phẩm để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 19/2012/QH13</w:t>
            </w:r>
          </w:p>
        </w:tc>
        <w:tc>
          <w:p/>
          <w:p>
            <w:pPr>
              <w:spacing w:after="0" w:before="0" w:lineRule="auto" w:line="276"/>
              <w:jc w:val="left"/>
            </w:pPr>
            <w:r>
              <w:rPr>
                <w:rFonts w:ascii="Times New Roman" w:hAnsi="Times New Roman" w:cs="Times New Roman" w:eastAsia="Times New Roman"/>
                <w:b w:val="false"/>
                <w:sz w:val="26"/>
              </w:rPr>
              <w:t>Luật 19/2012/QH13</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195/2013/NĐ-CP</w:t>
            </w:r>
          </w:p>
        </w:tc>
        <w:tc>
          <w:p/>
          <w:p>
            <w:pPr>
              <w:spacing w:after="0" w:before="0" w:lineRule="auto" w:line="276"/>
              <w:jc w:val="left"/>
            </w:pPr>
            <w:r>
              <w:rPr>
                <w:rFonts w:ascii="Times New Roman" w:hAnsi="Times New Roman" w:cs="Times New Roman" w:eastAsia="Times New Roman"/>
                <w:b w:val="false"/>
                <w:sz w:val="26"/>
              </w:rPr>
              <w:t>Nghị định 195/2013/NĐ-CP</w:t>
            </w:r>
          </w:p>
        </w:tc>
        <w:tc>
          <w:p/>
          <w:p>
            <w:pPr>
              <w:spacing w:after="0" w:before="0" w:lineRule="auto" w:line="276"/>
              <w:jc w:val="left"/>
            </w:pPr>
            <w:r>
              <w:rPr>
                <w:rFonts w:ascii="Times New Roman" w:hAnsi="Times New Roman" w:cs="Times New Roman" w:eastAsia="Times New Roman"/>
                <w:b w:val="false"/>
                <w:sz w:val="26"/>
              </w:rPr>
              <w:t>21-11-2013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01/2020/TT-BTTTT</w:t>
            </w:r>
          </w:p>
        </w:tc>
        <w:tc>
          <w:p/>
          <w:p>
            <w:pPr>
              <w:spacing w:after="0" w:before="0" w:lineRule="auto" w:line="276"/>
              <w:jc w:val="left"/>
            </w:pPr>
            <w:r>
              <w:rPr>
                <w:rFonts w:ascii="Times New Roman" w:hAnsi="Times New Roman" w:cs="Times New Roman" w:eastAsia="Times New Roman"/>
                <w:b w:val="false"/>
                <w:sz w:val="26"/>
              </w:rPr>
              <w:t>Thông tư 01/2020/TT-BTTTT</w:t>
            </w:r>
          </w:p>
        </w:tc>
        <w:tc>
          <w:p/>
          <w:p>
            <w:pPr>
              <w:spacing w:after="0" w:before="0" w:lineRule="auto" w:line="276"/>
              <w:jc w:val="left"/>
            </w:pPr>
            <w:r>
              <w:rPr>
                <w:rFonts w:ascii="Times New Roman" w:hAnsi="Times New Roman" w:cs="Times New Roman" w:eastAsia="Times New Roman"/>
                <w:b w:val="false"/>
                <w:sz w:val="26"/>
              </w:rPr>
              <w:t>07-02-2020</w:t>
            </w:r>
          </w:p>
        </w:tc>
        <w:tc>
          <w:p/>
        </w:tc>
      </w:tr>
      <w:tr>
        <w:tc>
          <w:p/>
          <w:p>
            <w:pPr>
              <w:spacing w:after="0" w:before="0" w:lineRule="auto" w:line="276"/>
              <w:jc w:val="left"/>
            </w:pPr>
            <w:r>
              <w:rPr>
                <w:rFonts w:ascii="Times New Roman" w:hAnsi="Times New Roman" w:cs="Times New Roman" w:eastAsia="Times New Roman"/>
                <w:b w:val="false"/>
                <w:sz w:val="26"/>
              </w:rPr>
              <w:t>23/2023/TT-BTTTT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01/2020/TT-BTTTT ngày 07 tháng 02 năm 2020 của Bộ trưởng Bộ Thông tin và Truyền thông quy định chi tiết và hướng dẫn thi hành một số điều của Luật Xuất bản và Nghị định số 195/2013/NĐ-CP ngày 21 tháng 11 năm 2013 của Chính phủ quy định chi tiết một số điều và biện pháp thi hành Luật Xuất bản</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2026-05-19T12:09:40Z</dcterms:created>
  <dc:creator>Apache POI</dc:creator>
</cp:coreProperties>
</file>