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1.004151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QĐ/0001-BCA</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Xét công nhận người hoạt động cách mạng trước ngày 01/01/1945 và người hoạt động cách mạng từ 01/01/1945 đến trước tổng khởi nghĩa 19/8/1945 tại Công an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Chính sách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Chuẩn bị hồ sơ theo quy định.
Công an đơn vị, địa phương theo thẩm quyền có trách nhiệm căn cứ vào hồ sơ, lý lịch cán bộ, đảng viên đang quản lý để hướng dẫn, lập hồ sơ theo quy định tại Thông tư liên tịch số 06/1999/TTLT/BLĐTBXH-BTCTW, ngày 08/02/1999 của Bộ Lao động, Thương binh và Xã hội - Ban Tổ chức Trung ương Đảng và gửi 01 bộ hồ sơ về Tổng cục Chính trị Công an nhân dân (qua Cục Tổ chức cán bộ).
Đối với đơn vị thuộc Tổng cục, do thủ trưởng cấp cục hoặc tương đương ký.
Đối với đơn vị trực thuộc Bộ trưởng, do thủ trưởng cấp cục hoặc tương đương ký.
Đối với Công an tỉnh, thành phố trực thuộc trung ương, do Giám đốc Công an tỉnh, thành phố ký.</w:t>
      </w:r>
    </w:p>
    <w:p>
      <w:pPr>
        <w:spacing w:after="0" w:before="0" w:lineRule="auto" w:line="276"/>
        <w:jc w:val="both"/>
      </w:pPr>
      <w:r>
        <w:rPr>
          <w:rFonts w:ascii="Times New Roman" w:hAnsi="Times New Roman" w:cs="Times New Roman" w:eastAsia="Times New Roman"/>
          <w:b w:val="false"/>
          <w:sz w:val="26"/>
        </w:rPr>
        <w:t>Bước 2: Cục Tổ chức cán bộ tiếp nhận hồ sơ do Công an đơn vị, địa phương chuyển đến thẩm định, báo cáo Tổng cục trưởng Tổng cục Chính trị Công an nhân dân duyệt, ký trình Đảng uỷ Công an Trung ương xét quyết định công nhận người hoạt động cách mạng trước ngày 01/01/1945 (mẫu số 1-LT1) hoặc xét quyết định công nhận người hoạt động cách mạng từ ngày 01/01/1945 đến trước tổng khởi nghĩa 19 tháng tám năm 1945 (mẫu số 2- TKN1).</w:t>
      </w:r>
    </w:p>
    <w:p>
      <w:pPr>
        <w:spacing w:after="0" w:before="0" w:lineRule="auto" w:line="276"/>
        <w:jc w:val="both"/>
      </w:pPr>
      <w:r>
        <w:rPr>
          <w:rFonts w:ascii="Times New Roman" w:hAnsi="Times New Roman" w:cs="Times New Roman" w:eastAsia="Times New Roman"/>
          <w:b w:val="false"/>
          <w:sz w:val="26"/>
        </w:rPr>
        <w:t>Bước 3: Nhận quyết định công nhận và chuyển đến Sở Lao động, Thương binh và Xã hội nơi người có công cư trú để đăng ký quản lý và  thực hiện chế độ ưu đãi.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chưa quy định cụ thể về thời gian giải quyết.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Trực tiếp tại Công an các đơn vị, địa phương có thẩm quyền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Đối với hồ sơ người hoạt  động cách mạng trước ngày 01/01/1945:  Giấy chứng nhận là cán bộ, đảng viên hoạt động lâu năm hoặc cán bộ hoạt động cách mạng trước năm 1945.  Hồ sơ gốc (hồ sơ,lý lịch cán bộ, đảng viên) và có đủ căn cứ tin cậy thì được xem xét công nhận.  Người có hồ sơ gốc nhưng chưa có đủ điều kiện để xem xét công nhận thì được xem xét xác nhận người hoạt động cách mạng “tiền khởi nghĩa”.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Đối với người hoạt động cách mạng từ 01/01/1945 đến trước tổng khởi nghĩa 19/8/1945:  Các giấy tờ, tài liệu phản ảnh đẩy đủ, tin cậy là chính xác là người có thời gian bắt đầu hoạt động cách mạng trong khoảng thời gian từ ngày 01 tháng 01 năm 1945 đến trước ngày  tổng khởi nghĩa; lúc đó thoát ly hoạt động hay không thoát ly, chỉ hoạt động ở cơ sở và sau đó phải tiếp tục tham gia một trong hai cuộc kháng chiến (trừ một số trường hợp do yêu cầu giảm chính, phục viên hoặc ốm yếu… không có điều kiện tiếp tục hoạt động trong kháng chiến chống Pháp).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Công an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Công an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Công an các đơn vị, địa phương có thẩm quyền.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người hoạt động cách mạng trước ngày 01/01/1945 và người hoạt động cách mạng từ 01/01/1945 đến trước tổng khởi nghĩa 19/8/1945</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26/2005/PL-UBTVQH11</w:t>
            </w:r>
          </w:p>
        </w:tc>
        <w:tc>
          <w:p/>
          <w:p>
            <w:pPr>
              <w:spacing w:after="0" w:before="0" w:lineRule="auto" w:line="276"/>
              <w:jc w:val="left"/>
            </w:pPr>
            <w:r>
              <w:rPr>
                <w:rFonts w:ascii="Times New Roman" w:hAnsi="Times New Roman" w:cs="Times New Roman" w:eastAsia="Times New Roman"/>
                <w:b w:val="false"/>
                <w:sz w:val="26"/>
              </w:rPr>
              <w:t>26/2005/PL-UBTVQH11 - Ưu đãi người có công với cách mạng</w:t>
            </w:r>
          </w:p>
        </w:tc>
        <w:tc>
          <w:p/>
          <w:p>
            <w:pPr>
              <w:spacing w:after="0" w:before="0" w:lineRule="auto" w:line="276"/>
              <w:jc w:val="left"/>
            </w:pPr>
            <w:r>
              <w:rPr>
                <w:rFonts w:ascii="Times New Roman" w:hAnsi="Times New Roman" w:cs="Times New Roman" w:eastAsia="Times New Roman"/>
                <w:b w:val="false"/>
                <w:sz w:val="26"/>
              </w:rPr>
              <w:t>29-06-2005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04/2012/UBTVQH13</w:t>
            </w:r>
          </w:p>
        </w:tc>
        <w:tc>
          <w:p/>
          <w:p>
            <w:pPr>
              <w:spacing w:after="0" w:before="0" w:lineRule="auto" w:line="276"/>
              <w:jc w:val="left"/>
            </w:pPr>
            <w:r>
              <w:rPr>
                <w:rFonts w:ascii="Times New Roman" w:hAnsi="Times New Roman" w:cs="Times New Roman" w:eastAsia="Times New Roman"/>
                <w:b w:val="false"/>
                <w:sz w:val="26"/>
              </w:rPr>
              <w:t>04/2012/UBTVQH13 -</w:t>
            </w:r>
          </w:p>
        </w:tc>
        <w:tc>
          <w:p/>
          <w:p>
            <w:pPr>
              <w:spacing w:after="0" w:before="0" w:lineRule="auto" w:line="276"/>
              <w:jc w:val="left"/>
            </w:pPr>
            <w:r>
              <w:rPr>
                <w:rFonts w:ascii="Times New Roman" w:hAnsi="Times New Roman" w:cs="Times New Roman" w:eastAsia="Times New Roman"/>
                <w:b w:val="false"/>
                <w:sz w:val="26"/>
              </w:rPr>
              <w:t>16-07-2012</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31/2013/NĐ-CP</w:t>
            </w:r>
          </w:p>
        </w:tc>
        <w:tc>
          <w:p/>
          <w:p>
            <w:pPr>
              <w:spacing w:after="0" w:before="0" w:lineRule="auto" w:line="276"/>
              <w:jc w:val="left"/>
            </w:pPr>
            <w:r>
              <w:rPr>
                <w:rFonts w:ascii="Times New Roman" w:hAnsi="Times New Roman" w:cs="Times New Roman" w:eastAsia="Times New Roman"/>
                <w:b w:val="false"/>
                <w:sz w:val="26"/>
              </w:rPr>
              <w:t>31/2013/NĐ-CP - Hướng dẫn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09-04-2013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 	05/2013/TT-BLĐTBXH </w:t>
            </w:r>
          </w:p>
        </w:tc>
        <w:tc>
          <w:p/>
          <w:p>
            <w:pPr>
              <w:spacing w:after="0" w:before="0" w:lineRule="auto" w:line="276"/>
              <w:jc w:val="left"/>
            </w:pPr>
            <w:r>
              <w:rPr>
                <w:rFonts w:ascii="Times New Roman" w:hAnsi="Times New Roman" w:cs="Times New Roman" w:eastAsia="Times New Roman"/>
                <w:b w:val="false"/>
                <w:sz w:val="26"/>
              </w:rPr>
              <w:t>	05/2013/TT-BLĐTBXH - Hướng dẫn về thủ tục lập hồ sơ, quản lý hồ sơ, thực hiện chế độ ưu đãi người có công với cách mạng và thân nhân</w:t>
            </w:r>
          </w:p>
        </w:tc>
        <w:tc>
          <w:p/>
          <w:p>
            <w:pPr>
              <w:spacing w:after="0" w:before="0" w:lineRule="auto" w:line="276"/>
              <w:jc w:val="left"/>
            </w:pPr>
            <w:r>
              <w:rPr>
                <w:rFonts w:ascii="Times New Roman" w:hAnsi="Times New Roman" w:cs="Times New Roman" w:eastAsia="Times New Roman"/>
                <w:b w:val="false"/>
                <w:sz w:val="26"/>
              </w:rPr>
              <w:t>15-05-2013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đúng đối tượng được quy định tại Thông tư số 61/2013/TT-BCA, ngày 20/11/2013 của Bộ Công an quy định chi tiết về thực hiện chế độ ưu đãi người có công với cách mạng trong Công an nhân dân.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Xét công nhận người hoạt động cách mạng trước ngày 01/01/1945 và người hoạt động cách mạng từ 01/01/1945 đến trước tổng khởi nghĩa 19/8/1945 tại Công an cấp tỉnh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2026-05-22T16:28:47Z</dcterms:created>
  <dc:creator>Apache POI</dc:creator>
</cp:coreProperties>
</file>