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2787/QĐ-BTNMT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xả nước thải vào nguồn nước với lưu lượng dưới 30.000m3/ngày đêm đối với hoạt động nuôi trồng thủy sản; với lưu lượng dưới 3.000m3/ngày đêm đối với các hoạt động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1: Nộp hồ sơ:</w:t>
      </w:r>
    </w:p>
    <w:p>
      <w:pPr>
        <w:spacing w:after="0" w:before="0" w:lineRule="auto" w:line="276"/>
        <w:jc w:val="both"/>
      </w:pPr>
      <w:r>
        <w:rPr>
          <w:rFonts w:ascii="Times New Roman" w:hAnsi="Times New Roman" w:cs="Times New Roman" w:eastAsia="Times New Roman"/>
          <w:b w:val="false"/>
          <w:sz w:val="26"/>
        </w:rPr>
        <w:t xml:space="preserve"> Tổ chức, cá nhân nộp hồ sơ và nộp phí thẩm định hồ sơ đến Sở Tài nguyên và Môi trường.</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2. Kiểm tra hồ sơ:  Sở Tài nguyên và Môi trường có trách nhiệm xem xét, kiểm tra hồ sơ.</w:t>
      </w:r>
    </w:p>
    <w:p>
      <w:pPr>
        <w:spacing w:after="0" w:before="0" w:lineRule="auto" w:line="276"/>
        <w:jc w:val="both"/>
      </w:pPr>
      <w:r>
        <w:rPr>
          <w:rFonts w:ascii="Times New Roman" w:hAnsi="Times New Roman" w:cs="Times New Roman" w:eastAsia="Times New Roman"/>
          <w:b w:val="false"/>
          <w:sz w:val="26"/>
        </w:rPr>
        <w:t xml:space="preserve"> + Trường hợp hồ sơ không hợp lệ, Sở Tài nguyên và Môi trường thông báo cho tổ chức, cá nhân đề nghị cấp phép để bổ sung, hoàn thiện hồ sơ theo quy định.</w:t>
      </w:r>
    </w:p>
    <w:p>
      <w:pPr>
        <w:spacing w:after="0" w:before="0" w:lineRule="auto" w:line="276"/>
        <w:jc w:val="both"/>
      </w:pPr>
      <w:r>
        <w:rPr>
          <w:rFonts w:ascii="Times New Roman" w:hAnsi="Times New Roman" w:cs="Times New Roman" w:eastAsia="Times New Roman"/>
          <w:b w:val="false"/>
          <w:sz w:val="26"/>
        </w:rPr>
        <w:t xml:space="preserve"> + Trường hợp hồ sơ sau khi đã bổ sung mà vẫn không đáp ứng yêu cầu theo quy định thì Sở Tài nguyên và Môi trường trả lại hồ sơ và thông báo rõ lý do cho tổ chức, cá nhân đề nghị cấp phép.</w:t>
      </w:r>
    </w:p>
    <w:p>
      <w:pPr>
        <w:shd w:val="clear" w:color="auto" w:fill="F2F6F9"/>
        <w:spacing w:after="0" w:before="120" w:lineRule="auto" w:line="276"/>
        <w:jc w:val="both"/>
      </w:pPr>
      <w:r>
        <w:rPr>
          <w:rFonts w:ascii="Times New Roman" w:hAnsi="Times New Roman" w:cs="Times New Roman" w:eastAsia="Times New Roman"/>
          <w:b w:val="true"/>
          <w:sz w:val="26"/>
        </w:rPr>
        <w:t>Bước 3: Thẩm định đề án, báo cáo và quyết định cấp phép:</w:t>
      </w:r>
    </w:p>
    <w:p>
      <w:pPr>
        <w:spacing w:after="0" w:before="0" w:lineRule="auto" w:line="276"/>
        <w:jc w:val="both"/>
      </w:pPr>
      <w:r>
        <w:rPr>
          <w:rFonts w:ascii="Times New Roman" w:hAnsi="Times New Roman" w:cs="Times New Roman" w:eastAsia="Times New Roman"/>
          <w:b w:val="false"/>
          <w:sz w:val="26"/>
        </w:rPr>
        <w:t>Kể từ ngày nhận đủ hồ sơ hợp lệ, cơ quan tiếp nhận hồ sơ có trách nhiệm thẩm định đề án, báo cáo; nếu cần thiết thì kiểm tra thực tế hiện trường, lập hội đồng thẩm định đề án, báo cáo.
+ Trường hợp đủ điều kiện cấp phép, Sở Tài nguyên và Môi trường trình Ủy ban nhân dân cấp tỉnh; trường hợp không đủ điều kiện để cấp phép thì trả lại hồ sơ cho tổ chức, cá nhân đề nghị cấp phép và thông báo lý do không cấp phép.
+ Trường hợp phải bổ sung, chỉnh sửa để hoàn thiện đề án, báo cáo; Sở Tài nguyên và Môi trường gửi văn bản thông báo cho tổ chức, cá nhân đề nghị cấp phép nêu rõ những nội dung cần bổ sung, hoàn thiện.</w:t>
      </w:r>
    </w:p>
    <w:p>
      <w:pPr>
        <w:spacing w:after="0" w:before="0" w:lineRule="auto" w:line="276"/>
        <w:jc w:val="both"/>
      </w:pPr>
      <w:r>
        <w:rPr>
          <w:rFonts w:ascii="Times New Roman" w:hAnsi="Times New Roman" w:cs="Times New Roman" w:eastAsia="Times New Roman"/>
          <w:b w:val="false"/>
          <w:sz w:val="26"/>
        </w:rPr>
        <w:t>Thời gian bổ sung, hoàn thiện hoặc lập lại đề án, báo cáo không tính vào thời gian thẩm định đề án, báo cáo. Thời gian thẩm định sau khi đề án, báo cáo được bổ sung hoàn chỉnh là hai mươi (20) ngày làm việc.
+ Trường hợp phải lập lại đề án, báo cáo; Sở Tài nguyên và môi trường gửi văn bản thông báo cho tổ chức, cá nhân đề nghị cấp phép nêu rõ những nội dung đề án, báo cáo chưa đạt yêu cầu, phải làm lại và trả lại hồ sơ đề nghị cấp phép.</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4. Thông báo kết quả: </w:t>
      </w:r>
    </w:p>
    <w:p>
      <w:pPr>
        <w:spacing w:after="0" w:before="0" w:lineRule="auto" w:line="276"/>
        <w:jc w:val="both"/>
      </w:pPr>
      <w:r>
        <w:rPr>
          <w:rFonts w:ascii="Times New Roman" w:hAnsi="Times New Roman" w:cs="Times New Roman" w:eastAsia="Times New Roman"/>
          <w:b w:val="false"/>
          <w:sz w:val="26"/>
        </w:rPr>
        <w:t>Sở Tài nguyên và môi trường thông báo cho tổ chức, cá nhân đề nghị cấp phép để thực hiện nghĩa vụ tài chính và nhận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đề án, báo cáo: mức thu tùy thuộc vào điều kiện cụ thể tại địa phương mà quy định mức thu cho phù hợp, như: + Đối với đề án, báo cáo có lưu lượng nước dưới 100 m3/ngày đêm: Không quá 600.000 đồng/1 lần đề án, báo cáo. + Đối với đề án, báo cáo có lưu lượng nước từ 100 m3 đến dưới 500 m3/ngày đêm: Không quá 1.800.000 đồng/1 đề án, báo cáo. + Đối với đề án, báo cáo có lưu lượng nước từ 500 m3 đến dưới 2.000 m3/ngày đêm: Không quá 4.400.000 đồng/1 đề án, báo cáo. + Đối với đề án, báo cáo có lưu lượng nước từ 2.000 m3 đến dưới 3.000 m3/ngày đêm: Không quá 8.400.000 đồng/1 đề án, báo cáo. + Đối với đề án, báo cáo có lưu lượng nước trên 10.000 m3 đến dưới 20.000 m3/ngày đêm đối với hoạt động nuôi trồng thủy sản: Không quá 11.600.000 đồng/1 đề án, báo cáo. + Đối với đề án, báo cáo có lưu lượng nước từ 20.000 m3 đến dưới 30.000 m3/ngày đêm đối với hoạt động nuôi trồng thủy sản: Không quá 14.600.000 đồng/1 đề án, báo cáo. )</w:t>
              <w:br/>
              <w:t>File đính kèm: VanBanGoc_58.2016.NQ.HDND.pdf</w:t>
            </w:r>
          </w:p>
        </w:tc>
        <w:tc>
          <w:p/>
          <w:p>
            <w:pPr>
              <w:spacing w:after="0" w:before="0" w:lineRule="auto" w:line="276"/>
              <w:jc w:val="left"/>
            </w:pPr>
            <w:r>
              <w:rPr>
                <w:rFonts w:ascii="Times New Roman" w:hAnsi="Times New Roman" w:cs="Times New Roman" w:eastAsia="Times New Roman"/>
                <w:b w:val="false"/>
                <w:sz w:val="26"/>
              </w:rPr>
              <w:t xml:space="preserve"> - Thời hạn kiểm tra hồ sơ: Trong thời hạn mười (10) ngày làm việc, kể từ ngày nhận hồ sơ, Sở Tài Nguyên và Môi trường có trách nhiệm xem xét, kiểm tra hồ sơ.
- Thời hạn thẩm định đề án, báo cáo: Trong thời hạn 30 ngày làm việc, kể từ ngày nhận đủ hồ sơ hợp lệ, Sở Tài Nguyên và Môi trường có trách nhiệm thẩm định đề án, báo cáo.
Thời gian bổ sung, hoàn thiện hoặc lập lại đề án, báo cáo không tính vào thời gian thẩm định đề án, báo cáo. Thời gian thẩm định sau khi đề án, báo cáo được bổ sung hoàn chỉnh là hai mươi (20) ngày làm việc.
- Thời hạn trả giấy phép: Trong thời hạn năm (05) ngày làm việc, kể từ ngày nhận được giấy phép của Ủy ban nhân dân tỉnh, Sở Tài nguyên và Môi trường thông báo cho tổ chức, cá nhân đề nghị cấp phép để thực hiện nghĩa vụ tài chính và nhận giấy phép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xả nước thải vào nguồn nước kèm theo quy trình vận hành hệ thống xử lý nước thải đối với trường hợp chưa xả nước thải</w:t>
            </w:r>
          </w:p>
        </w:tc>
        <w:tc>
          <w:p/>
          <w:p>
            <w:pPr>
              <w:spacing w:after="0" w:before="0" w:lineRule="auto" w:line="276"/>
              <w:jc w:val="left"/>
            </w:pPr>
            <w:r>
              <w:rPr>
                <w:rFonts w:ascii="Times New Roman" w:hAnsi="Times New Roman" w:cs="Times New Roman" w:eastAsia="Times New Roman"/>
                <w:b w:val="false"/>
                <w:sz w:val="26"/>
              </w:rPr>
              <w:t>Mẫu số 35.docx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hiện trạng xả nước thải kèm theo quy trình vận hành hệ thống xử lý nước thải đối với trường hợp đang xả nước thải vào nguồn nước</w:t>
            </w:r>
          </w:p>
        </w:tc>
        <w:tc>
          <w:p/>
          <w:p>
            <w:pPr>
              <w:spacing w:after="0" w:before="0" w:lineRule="auto" w:line="276"/>
              <w:jc w:val="left"/>
            </w:pPr>
            <w:r>
              <w:rPr>
                <w:rFonts w:ascii="Times New Roman" w:hAnsi="Times New Roman" w:cs="Times New Roman" w:eastAsia="Times New Roman"/>
                <w:b w:val="false"/>
                <w:sz w:val="26"/>
              </w:rPr>
              <w:t>Mẫu số 36.docx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phân tích chất lượng nguồn nước tiếp nhận tại vị trí xả nước thải vào nguồn nước; kết quả phân tích chất lượng nước thải trước và sau khi xử lý đối với trường hợp đang xả nước thải. Thời điểm lấy mẫu phân tích chất lượng nước thải không quá ba ( 03)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vị trí khu vực xả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tổng hợp tiếp thu, giải trình ý kiến ( đối với trường hợp phải lấy ý kiến đại diện cộng đồng dân cư,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công trình xả nước thải vào nguồn nước, hồ sơ đề nghị cấp giấy phép phải nộp trong giai đoạn chuẩn bị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xả nước thải vào nguồn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Nghị định 201/2013/NĐ-CP</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60/2016/NĐ-CP</w:t>
            </w:r>
          </w:p>
        </w:tc>
        <w:tc>
          <w:p/>
          <w:p>
            <w:pPr>
              <w:spacing w:after="0" w:before="0" w:lineRule="auto" w:line="276"/>
              <w:jc w:val="left"/>
            </w:pPr>
            <w:r>
              <w:rPr>
                <w:rFonts w:ascii="Times New Roman" w:hAnsi="Times New Roman" w:cs="Times New Roman" w:eastAsia="Times New Roman"/>
                <w:b w:val="false"/>
                <w:sz w:val="26"/>
              </w:rPr>
              <w:t>Nghị định 60/2016/NĐ-CP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17/2012/QH13</w:t>
            </w:r>
          </w:p>
        </w:tc>
        <w:tc>
          <w:p/>
          <w:p>
            <w:pPr>
              <w:spacing w:after="0" w:before="0" w:lineRule="auto" w:line="276"/>
              <w:jc w:val="left"/>
            </w:pPr>
            <w:r>
              <w:rPr>
                <w:rFonts w:ascii="Times New Roman" w:hAnsi="Times New Roman" w:cs="Times New Roman" w:eastAsia="Times New Roman"/>
                <w:b w:val="false"/>
                <w:sz w:val="26"/>
              </w:rPr>
              <w:t>Luật 17/2012/QH13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Nghị định 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94/2016/TT-BTC</w:t>
            </w:r>
          </w:p>
        </w:tc>
        <w:tc>
          <w:p/>
          <w:p>
            <w:pPr>
              <w:spacing w:after="0" w:before="0" w:lineRule="auto" w:line="276"/>
              <w:jc w:val="left"/>
            </w:pPr>
            <w:r>
              <w:rPr>
                <w:rFonts w:ascii="Times New Roman" w:hAnsi="Times New Roman" w:cs="Times New Roman" w:eastAsia="Times New Roman"/>
                <w:b w:val="false"/>
                <w:sz w:val="26"/>
              </w:rPr>
              <w:t>Thông tư 94/2016/TT-BTC</w:t>
            </w:r>
          </w:p>
        </w:tc>
        <w:tc>
          <w:p/>
          <w:p>
            <w:pPr>
              <w:spacing w:after="0" w:before="0" w:lineRule="auto" w:line="276"/>
              <w:jc w:val="left"/>
            </w:pPr>
            <w:r>
              <w:rPr>
                <w:rFonts w:ascii="Times New Roman" w:hAnsi="Times New Roman" w:cs="Times New Roman" w:eastAsia="Times New Roman"/>
                <w:b w:val="false"/>
                <w:sz w:val="26"/>
              </w:rPr>
              <w:t>27-06-2016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thực hiện việc thông báo, lấy ý kiến đại diện cộng đồng dân cư, tổ chức, cá nhân ( đối với trường hợp lấy ý kiện đại diện cộng đồng dân cư, tổ chức, cá nhân).
- Có đề án phù hợp với quy hoạch tài nguyên nước đã được phê duyệt hoặc phù hợp với khả năng nguồn nước, khả năng tiếp nhận nước thải của nguồn nước nếu chưa có quy hoạch tài nguyên nước; thông tin, số liệu sử dụng để lập đề án phải đảm bảo đầy đủ, rõ ràng, chính xác và trung thực. Đề án, báo cáo phải do tổ chức, cá nhân có đủ điều kiện năng lực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2026-05-19T14:34:36Z</dcterms:created>
  <dc:creator>Apache POI</dc:creator>
</cp:coreProperties>
</file>