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tiếp cận nguồn gen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đăng ký tiếp cận nguồn gen nộp hồ sơ bằng hình thức trực tiếp hoặc môi trường mạng hoặc qua dịch vụ bưu chính tới Sở Nông nghiệp và Môi trường.
b) Bước 2: Kiểm tra hồ sơ
Sở Nông nghiệp và Môi trường có trách nhiệm tiếp nhận hồ sơ,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c) Bước 3: Thẩm định hồ sơ
Trong thời hạn bảy (07) ngày làm việc, kể từ ngày nhận đủ hồ sơ hợp lệ, Sở Nông nghiệp và Môi trường tổ chức thẩm định và trình Chủ tịch Ủy ban nhân dân tỉnh xem xét, quyết định.
d) Bước 4: Quyết định việc xác nhận đăng ký tiếp cận nguồn gen
Trong thời hạn hai (02) ngày làm việc, trên cơ sở kết quả thẩm định, Chủ tịch Ủy ban nhân dân cấp tỉnh ký văn bản xác nhận đăng ký tiếp cận nguồn gen. Trường hợp từ chối phải thông báo bằng văn bản và nêu rõ lý do cho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Bằng cấp chuyên môn (từ đại học trở lên) về một trong các lĩnh vực: sinh học, công nghệ sinh học, dược học và khoa học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bảo lãnh của tổ chức khoa học và công nghệ đang hoạt động mà cá nhân là thành viên</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tiếp cận nguồn gen,</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tổ chức, cá nhân cử đại diện để thực hiện đăng ký tiếp cận nguồn gen đối với việc đăng ký tiếp cận nguồn gen thuộc chương trình, dự án, đề tài chung có sự tham gia của nhiều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tiếp cận nguồn gen</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tư cách pháp nhân theo quy định pháp luật của quốc gia nơi tổ chức được thành lập và văn bản hợp tác với tổ chức khoa học và công nghệ Việt Nam trong trường hợp các tổ chức, cá nhân nước ngoài đăng ký tiếp cận nguồn gen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tổ chức, cá nhân cử đại diện để thực hiện đăng ký tiếp cận nguồn gen đối với việc đăng ký tiếp cận nguồn gen thuộc chương trình, dự án, đề tài chung có sự tham gia của nhiều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tiếp cận nguồn gen.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59/2017/NĐ-CP</w:t>
            </w:r>
          </w:p>
        </w:tc>
        <w:tc>
          <w:p/>
          <w:p>
            <w:pPr>
              <w:spacing w:after="0" w:before="0" w:lineRule="auto" w:line="276"/>
              <w:jc w:val="left"/>
            </w:pPr>
            <w:r>
              <w:rPr>
                <w:rFonts w:ascii="Times New Roman" w:hAnsi="Times New Roman" w:cs="Times New Roman" w:eastAsia="Times New Roman"/>
                <w:b w:val="false"/>
                <w:sz w:val="26"/>
              </w:rPr>
              <w:t>Về quản lý tiếp cận nguồn gen và chia sẻ lợi ích từ việc sử dụng nguồn gen</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11/2025/TT-BNNMT</w:t>
            </w:r>
          </w:p>
        </w:tc>
        <w:tc>
          <w:p/>
          <w:p>
            <w:pPr>
              <w:spacing w:after="0" w:before="0" w:lineRule="auto" w:line="276"/>
              <w:jc w:val="left"/>
            </w:pPr>
            <w:r>
              <w:rPr>
                <w:rFonts w:ascii="Times New Roman" w:hAnsi="Times New Roman" w:cs="Times New Roman" w:eastAsia="Times New Roman"/>
                <w:b w:val="false"/>
                <w:sz w:val="26"/>
              </w:rPr>
              <w:t>Thông tư quy định về phân quyền, phân cấp quản lý nhà nước trong lĩnh vực bảo tồn thiên nhiên và đa dạng sinh học</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Việc tiếp cận nguồn gen không thuộc một trong các trường hợp sau:
a) Nguồn gen của loài thuộc Danh mục loài nguy cấp, quý, hiếm được ưu tiên bảo vệ, trừ trường hợp được cơ quan nhà nước có thẩm quyền cho phép;
b) Việc sử dụng nguồn gen có nguy cơ gây hại đối với con người, môi trường, an ninh, quốc phòng và lợi ích quốc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tiếp cận nguồn gen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2026-05-14T10:00:14Z</dcterms:created>
  <dc:creator>Apache POI</dc:creator>
</cp:coreProperties>
</file>