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2609/QĐ-BCA-C08</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Sang tên, di chuyển mô tô, xe gắn máy đi tỉnh, thành phố trực thuộc Trung ương khác tại Công an cấp huyện nơi được phân cấp đăng ký mô tô, xe gắn máy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đề nghị sang tên di chuyển tại bộ phận tiếp nhận và trả kết quả Trụ sở Công an cấp huyện được phân cấp đăng ký mô tô, xe gắn máy hoặc điểm đăng ký xe của Công an cấp huyện.
Cán bộ tiếp nhận:
Kiểm tra giấy tờ của chủ xe, tiếp nhận hai giấy khai sang tên, di chuyển và hồ sơ sang tên, di chuyển.
Thu hồi biển số, giấy chứng nhận đăng ký xe.
Đối chiếu kỹ giữa giấy chứng nhận đăng ký xe với chứng từ chuyển nhượng xe.
Bổ sung nội dung thay đổi xe sang tên, di chuyển vào máy vi tính, in 02 Phiếu sang tên di chuyển và giấy đăng ký xe tạm thời (nếu chủ xe có yêu cầu).
Cắt góc vào phía trên bên phải, mặt trước giấy chứng nhận đăng ký xe.
Niêm phong hồ sơ gốc có đóng dấu giáp lai. Riêng phiếu sang tên di chuyển, giấy khai sang tên di chuyển, giấy chứng nhận đăng ký xe và chứng từ chuyển nhượng xe ghim vào phía ngoài túi đựng hồ sơ đã được niêm phong.</w:t>
      </w:r>
    </w:p>
    <w:p>
      <w:pPr>
        <w:spacing w:after="0" w:before="0" w:lineRule="auto" w:line="276"/>
        <w:jc w:val="both"/>
      </w:pPr>
      <w:r>
        <w:rPr>
          <w:rFonts w:ascii="Times New Roman" w:hAnsi="Times New Roman" w:cs="Times New Roman" w:eastAsia="Times New Roman"/>
          <w:b w:val="false"/>
          <w:sz w:val="26"/>
        </w:rPr>
        <w:t>Bước 3: Trả phiếu sang tên, di chuyển, giấy khai sang tên di chuyển kèm theo hồ sơ gốc cho chủ xe và cấp giấy chứng nhận đăng ký xe tạm thời, hướng dẫn chủ xe dán biển số tạm thời theo quy định (nếu có).</w:t>
      </w:r>
    </w:p>
    <w:p>
      <w:pPr>
        <w:spacing w:after="0" w:before="0" w:lineRule="auto" w:line="276"/>
        <w:jc w:val="both"/>
      </w:pPr>
      <w:r>
        <w:rPr>
          <w:rFonts w:ascii="Times New Roman" w:hAnsi="Times New Roman" w:cs="Times New Roman" w:eastAsia="Times New Roman"/>
          <w:b w:val="false"/>
          <w:sz w:val="26"/>
        </w:rPr>
        <w:t>Từ thứ 2 đến thứ 7 (theo quy định của Thủ tướng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Công an cấp huyện được phân cấp đăng ký mô tô, xe gắn máy hoặc điểm đăng ký xe của Công an cấp huyện. Thời gian không quá 2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Chứng từ chuyển quyền sở hữu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chứng nhận đăng ký xe,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của người mua, được điều chuyển, cho, tặng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02 Giấy khai sang tên di chuyển xe (theo mẫu).</w:t>
            </w:r>
          </w:p>
        </w:tc>
        <w:tc>
          <w:p/>
          <w:p>
            <w:pPr>
              <w:spacing w:after="0" w:before="0" w:lineRule="auto" w:line="276"/>
              <w:jc w:val="left"/>
            </w:pPr>
            <w:r>
              <w:rPr>
                <w:rFonts w:ascii="Times New Roman" w:hAnsi="Times New Roman" w:cs="Times New Roman" w:eastAsia="Times New Roman"/>
                <w:b w:val="false"/>
                <w:sz w:val="26"/>
              </w:rPr>
              <w:t>29-Mẫu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Công an cấp huyện được phân cấp đăng ký mô tô, xe gắn máy hoặc điểm đăng ký xe của Công an cấp huyện. Thời gian: Từ thứ 2 đến thứ 7 (theo quy định của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hồ sơ xe sang tên di chuyển cho chủ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23/2008/QH12 - 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15/2014/TT-BCA</w:t>
            </w:r>
          </w:p>
        </w:tc>
        <w:tc>
          <w:p/>
          <w:p>
            <w:pPr>
              <w:spacing w:after="0" w:before="0" w:lineRule="auto" w:line="276"/>
              <w:jc w:val="left"/>
            </w:pPr>
            <w:r>
              <w:rPr>
                <w:rFonts w:ascii="Times New Roman" w:hAnsi="Times New Roman" w:cs="Times New Roman" w:eastAsia="Times New Roman"/>
                <w:b w:val="false"/>
                <w:sz w:val="26"/>
              </w:rPr>
              <w:t>Thông tư 15/2014/TT-BCA - Quy định về đăng ký xe</w:t>
            </w:r>
          </w:p>
        </w:tc>
        <w:tc>
          <w:p/>
          <w:p>
            <w:pPr>
              <w:spacing w:after="0" w:before="0" w:lineRule="auto" w:line="276"/>
              <w:jc w:val="left"/>
            </w:pPr>
            <w:r>
              <w:rPr>
                <w:rFonts w:ascii="Times New Roman" w:hAnsi="Times New Roman" w:cs="Times New Roman" w:eastAsia="Times New Roman"/>
                <w:b w:val="false"/>
                <w:sz w:val="26"/>
              </w:rPr>
              <w:t>04-04-2014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229/2016/TT-BTC</w:t>
            </w:r>
          </w:p>
        </w:tc>
        <w:tc>
          <w:p/>
          <w:p>
            <w:pPr>
              <w:spacing w:after="0" w:before="0" w:lineRule="auto" w:line="276"/>
              <w:jc w:val="left"/>
            </w:pPr>
            <w:r>
              <w:rPr>
                <w:rFonts w:ascii="Times New Roman" w:hAnsi="Times New Roman" w:cs="Times New Roman" w:eastAsia="Times New Roman"/>
                <w:b w:val="false"/>
                <w:sz w:val="26"/>
              </w:rPr>
              <w:t>Thông tư số 229/2016/TT-BTC Thông tư quy định mức thu, chế độ thu, nộp, quản lý lệ phí đăng ký, cấp biển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64/2017/TT-BCA</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15/2014/TT-BCA ngày 04/4/2014 của Bộ trưởng Bộ Công an quy định đăng ký xe</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Sang tên, di chuyển mô tô, xe gắn máy đi tỉnh, thành phố trực thuộc Trung ương khác tại Công an cấp huyện nơi được phân cấp đăng ký mô tô, xe gắn máy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2026-05-13T16:01:58Z</dcterms:created>
  <dc:creator>Apache POI</dc:creator>
</cp:coreProperties>
</file>