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tuyến truyền dẫn vi ba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và cá nhân có nhu cầu gửi hồ sơ về Cục Tần số vô tuyến điện hoặc các Trung tâm Tần số vô tuyến điện khu vực hoặc các cơ quan phối hợp do Cục Tần số vô tuyến điện ủy quyền (Danh sách các cơ quan phối hợp được thông báo trên trang thông tin điện tử của Cục Tần số vô tuyến điện).
- Cục Tần số vô tuyến điện thụ lý hồ sơ cấp phép:
+ Cục Tần số vô tuyến điện giải quyết cấp, gia hạn, sửa đổi, bổ sung nội dung giấy phép trong thời hạn 20 ngày làm việc, kể từ ngày nhận đủ hồ sơ theo quy định.
+ Trường hợp đặc biệt, khi hồ sơ đề nghị cấp, sửa đổi, bổ sung nội dung giấy phép sử dụng tần số vô tuyến điện của cùng một tổ chức, cá nhân gửi trong vòng 20 ngày làm việc có số lượng tần số vô tuyến điện cần phải ấn định vượt quá 100 tần số thì trong thời hạn 5 ngày làm việc kể từ ngày nhận đủ hồ sơ theo quy định, Cục Tần số số vô tuyến điện thông báo bằng văn bản l‎‎ý do và dự kiến thời gian giải quyết (tối đa không quá 6 tháng) cho tổ chức, cá nhân đề nghị cấp giấy phép.
+ Nếu hồ sơ chưa đầy đủ, chưa hợp lệ thì trong thời hạn 05 ngày làm việc kể từ ngày nhận được hồ sơ, Cục Tần số vô tuyến điện có trách nhiệm thông báo, hướng dẫn bằng văn bản cho tổ chức, cá nhân để bổ sung, hoàn thiện hồ sơ. 
+ Trường hợp từ chối cấp giấy phép, Cục Tần số vô tuyến điện thông báo bằng văn bản nêu rõ lý do từ chối cho tổ chức, cá nhân trong thời hạn 20 ngày làm việc hoặc tối đa không quá 6 tháng đối với trường hợp đặc biệt.
+ Đối với trường hợp phải thay đổi tần số do không xử lý được nhiễu có hại, thời hạn giải quyết cấp giấy phép không quá 10 ngày làm việc kể từ ngày có kết luận về xử lý nhiễu có hại.
- Người sử dụng căn cứ văn bản nhận được từ Cục Tần số vô tuyến điện để bổ sung hồ sơ, nộp phí theo thông báo, sau đó nhận giấy phép tại nơi thu phí và lệ phí hoặc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cấp giấy phép và Phí sử dụng tần số theo quy định của Bộ Tài chính)</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giấy phép và Phí sử dụng tần số theo quy định của Bộ Tài chính)</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giấy phép và Phí sử dụng tần số theo quy định của Bộ Tài chính)</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1e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sử dụng tần số vô tuyến điện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01/2012/TTLT-BTTTT-BGTVT</w:t>
            </w:r>
          </w:p>
        </w:tc>
        <w:tc>
          <w:p/>
          <w:p>
            <w:pPr>
              <w:spacing w:after="0" w:before="0" w:lineRule="auto" w:line="276"/>
              <w:jc w:val="left"/>
            </w:pPr>
            <w:r>
              <w:rPr>
                <w:rFonts w:ascii="Times New Roman" w:hAnsi="Times New Roman" w:cs="Times New Roman" w:eastAsia="Times New Roman"/>
                <w:b w:val="false"/>
                <w:sz w:val="26"/>
              </w:rPr>
              <w:t>Hướng dẫn việc quản lý, cấp giấy phép sử dụng tần số vô tuyến điện đối với đài vô tuyến điện sử dụng tần số thuộc nghiệp vụ di động hàng không, vô tuyến dẫn đường hàng không</w:t>
            </w:r>
          </w:p>
        </w:tc>
        <w:tc>
          <w:p/>
          <w:p>
            <w:pPr>
              <w:spacing w:after="0" w:before="0" w:lineRule="auto" w:line="276"/>
              <w:jc w:val="left"/>
            </w:pPr>
            <w:r>
              <w:rPr>
                <w:rFonts w:ascii="Times New Roman" w:hAnsi="Times New Roman" w:cs="Times New Roman" w:eastAsia="Times New Roman"/>
                <w:b w:val="false"/>
                <w:sz w:val="26"/>
              </w:rPr>
              <w:t>24-02-2012</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toòn, an ninh thông tin; kiểm tra, giải quyết nhiễu có hại và an toàn bức xạ vô tuyến điện.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2026-05-19T15:29:31Z</dcterms:created>
  <dc:creator>Apache POI</dc:creator>
</cp:coreProperties>
</file>