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2736/QĐ-BTNMT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đủ điều kiện về bảo vệ môi trường trong nhập khẩu phế liệu làm nguyên liệu sản xuất cho tổ chức, cá nhân trực tiếp sử dụng phế liệu nhập khẩu làm nguyên liệu sản xuất (TTHC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quy định tại Điều 55 Nghị định số 38/2015/NĐ-CP lập hồ sơ theo quy định tại Điều 4 Thông tư này gửi trên Cổng thông tin một cửa quốc gia. Quy trình triển khai, tiếp nhận, trao đổi, phản hồi thông tin trên Cổng thông tin một cửa quốc gia và hệ thống xử lý chuyên ngành của Sở Tài nguyên và Môi trường theo quy định thực hiện thủ tục hành chính thông qua Cơ chế một cửa quốc gia, Cơ chế một cửa ASEAN và kiểm tra chuyên ngành đối với hàng hóa xuất khẩu, nhập khẩu.
Trường hợp hệ thống xử lý chuyên ngành chưa đáp ứng yêu cầu theo quy định thực hiện thủ tục hành chính thông qua Cơ chế một cửa quốc gia, Cơ chế một cửa ASEAN thì tổ chức, cá nhân nộp hồ sơ trực tiếp hoặc qua dịch vụ bưu chính đến Bộ Tài nguyên và Môi trường. Hồ sơ sẽ trả lại cho tổ chức, cá nhân ngay sau khi xác định chưa đầy đủ theo quy định.</w:t>
      </w:r>
    </w:p>
    <w:p>
      <w:pPr>
        <w:spacing w:after="0" w:before="0" w:lineRule="auto" w:line="276"/>
        <w:jc w:val="both"/>
      </w:pPr>
      <w:r>
        <w:rPr>
          <w:rFonts w:ascii="Times New Roman" w:hAnsi="Times New Roman" w:cs="Times New Roman" w:eastAsia="Times New Roman"/>
          <w:b w:val="false"/>
          <w:sz w:val="26"/>
        </w:rPr>
        <w:t>Bước 2: Kiểm tra hồ sơ: Sở Tài nguyên và Môi trường xem xét hồ sơ; trường hợp hồ sơ chưa đầy đủ, có văn bản thông báo gửi tổ chức, cá nhân để hoàn thiện.</w:t>
      </w:r>
    </w:p>
    <w:p>
      <w:pPr>
        <w:spacing w:after="0" w:before="0" w:lineRule="auto" w:line="276"/>
        <w:jc w:val="both"/>
      </w:pPr>
      <w:r>
        <w:rPr>
          <w:rFonts w:ascii="Times New Roman" w:hAnsi="Times New Roman" w:cs="Times New Roman" w:eastAsia="Times New Roman"/>
          <w:b w:val="false"/>
          <w:sz w:val="26"/>
        </w:rPr>
        <w:t xml:space="preserve">Bước 3: Thẩm định, thông báo kết quả thẩm định
- Sở Tài nguyên và Môi trường thành lập đoàn kiểm tra và tiến hành kiểm tra điều kiện về bảo vệ môi trường trong nhập khẩu phế liệu làm nguyên liệu sản xuất; trường hợp cần thiết, tiến hành lấy mẫu, phân tích, tham vấn các tổ chức, cá nhân có liên quan và quyết định việc cấp hoặc từ chối cấp Giấy xác nhận.
Trường hợp tổ chức, cá nhân đáp ứng đủ điều kiện về bảo vệ môi trường theo quy định, Sở Tài nguyên và Môi trường xem xét, cấp Giấy xác nhận; trường hợp tổ chức, cá nhân chưa đáp ứng đủ điều kiện bảo vệ môi trường theo quy định, Sở Tài nguyên và Môi trường thông báo bằng văn bản cho tổ chức, cá nhân hoàn thiện hồ sơ, điều kiện về bảo vệ môi trường theo yêu cầu.
Tổ chức, cá nhân thực hiện đúng các yêu cầu của văn bản thông báo và hoàn thiện, gửi lại hồ sơ đã hoàn thiện đến Sở Tài nguyên và Môi trường xem xét; trường hợp cần thiết, Sở Tài nguyên và Môi trường tổ chức kiểm tra lại các điều kiện về bảo vệ môi trường và xem xét, cấp Giấy xác nhận. Trường hợp không cấp Giấy xác nhận, Sở Tài nguyên và Môi trường thông báo bằng văn bản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kiểm tra, trả lời về tính đầy đủ và hợp lệ của hồ sơ: Năm (05) ngày làm việc kể từ ngày nhận hồ sơ.
Thời hạn thẩm định hồ sơ và có văn bản trả lời: Ba mươi (30) ngày làm việc (không bao gồm thời gian hoàn thiện hồ sơ của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(01) văn bản đề nghị theo mẫu quy định tại Phụ lục 2a ban hành kèm theo Thông tư số 41/2015/TT-BTNMT;</w:t>
            </w:r>
          </w:p>
        </w:tc>
        <w:tc>
          <w:p/>
          <w:p>
            <w:pPr>
              <w:spacing w:after="0" w:before="0" w:lineRule="auto" w:line="276"/>
              <w:jc w:val="left"/>
            </w:pPr>
            <w:r>
              <w:rPr>
                <w:rFonts w:ascii="Times New Roman" w:hAnsi="Times New Roman" w:cs="Times New Roman" w:eastAsia="Times New Roman"/>
                <w:b w:val="false"/>
                <w:sz w:val="26"/>
              </w:rPr>
              <w:t>Phụ lục 2a-vb de nghi NKPL.docx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(01) báo cáo các điều kiện về bảo vệ môi trường trong nhập khẩu phế liệu làm nguyên liệu sản xuất theo mẫu quy định tại Phụ lục 3a, 3b ban hành kèm theo Thông tư số 41/2015/TT-BTNMT;</w:t>
            </w:r>
          </w:p>
        </w:tc>
        <w:tc>
          <w:p/>
          <w:p>
            <w:pPr>
              <w:spacing w:after="0" w:before="0" w:lineRule="auto" w:line="276"/>
              <w:jc w:val="left"/>
            </w:pPr>
            <w:r>
              <w:rPr>
                <w:rFonts w:ascii="Times New Roman" w:hAnsi="Times New Roman" w:cs="Times New Roman" w:eastAsia="Times New Roman"/>
                <w:b w:val="false"/>
                <w:sz w:val="26"/>
              </w:rPr>
              <w:t>Phụ lục 3a, 3b- bao cao Dk NK phe lieu.docx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(01) trong các văn bản sau: Quyết định phê duyệt Báo cáo đánh giá tác động môi trường và Quyết định phê duyệt Báo cáo đánh giá tác động môi trường bổ sung (nếu có); Giấy chứng nhận Bản đăng ký đạt tiêu chuẩn môi trường; Giấy xác nhận đăng ký Bản cam kết bảo vệ môi trường; Quyết định phê duyệt đề án bảo vệ môi trường; Giấy xác nhận đăng ký đề án bảo vệ môi trường; Quyết định phê duyệt đề án bảo vệ môi trường chi tiết; Giấy xác nhận đăng ký đề án bảo vệ môi trường đơn giản; Giấy xác nhận đăng ký kế hoạch bảo vệ môi trường; Văn bản thông báo về việc chấp nhận đăng ký bản cam kết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(01) trong các văn bản sau: Giấy xác nhận hoàn thành các công trình, biện pháp bảo vệ môi trường theo quy định của pháp luật về bảo vệ môi trường đối với các cơ sở, dự án; Giấy xác nhận hoàn thành việc thực hiện đề án bảo vệ môi trường chi tiết hoặc các hồ sơ, giấy tờ tương đương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chuyển giao, xử lý tạp chất, chất thải với đơn vị có chức năng phù hợp (trong trường hợp không có công nghệ, thiết bị xử lý tạp chất đi kèm, chất thải phát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giám sát môi trường định kỳ của cơ sở (trường hợp báo cáo không có kết quả giám sát môi trường đối với các công trình, thiết bị xử lý chất thải trong quá trình sản xuất, tái chế, tái sử dụng phế liệu thì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về tái xuất hoặc xử lý phế liệu nhập khẩu theo mẫu quy định tại Phụ lục 4a ban hành kèm theo Thông tư.</w:t>
            </w:r>
          </w:p>
        </w:tc>
        <w:tc>
          <w:p/>
          <w:p>
            <w:pPr>
              <w:spacing w:after="0" w:before="0" w:lineRule="auto" w:line="276"/>
              <w:jc w:val="left"/>
            </w:pPr>
            <w:r>
              <w:rPr>
                <w:rFonts w:ascii="Times New Roman" w:hAnsi="Times New Roman" w:cs="Times New Roman" w:eastAsia="Times New Roman"/>
                <w:b w:val="false"/>
                <w:sz w:val="26"/>
              </w:rPr>
              <w:t>Phụ lục 4a.docx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 Chi cục Bảo vệ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về bảo vệ môi trường trong nhập khẩu phế liệu làm nguyên liệu sản xuất hoặc văn bản không chấp thuận việc đề nghị cấp Giấy xác nhận đủ điều kiện nhập khẩu phế liệu.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55/2014/QH13</w:t>
            </w:r>
          </w:p>
        </w:tc>
        <w:tc>
          <w:p/>
          <w:p>
            <w:pPr>
              <w:spacing w:after="0" w:before="0" w:lineRule="auto" w:line="276"/>
              <w:jc w:val="left"/>
            </w:pPr>
            <w:r>
              <w:rPr>
                <w:rFonts w:ascii="Times New Roman" w:hAnsi="Times New Roman" w:cs="Times New Roman" w:eastAsia="Times New Roman"/>
                <w:b w:val="false"/>
                <w:sz w:val="26"/>
              </w:rPr>
              <w:t>Luật 55/2014/QH13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38/2015/NĐ-CP</w:t>
            </w:r>
          </w:p>
        </w:tc>
        <w:tc>
          <w:p/>
          <w:p>
            <w:pPr>
              <w:spacing w:after="0" w:before="0" w:lineRule="auto" w:line="276"/>
              <w:jc w:val="left"/>
            </w:pPr>
            <w:r>
              <w:rPr>
                <w:rFonts w:ascii="Times New Roman" w:hAnsi="Times New Roman" w:cs="Times New Roman" w:eastAsia="Times New Roman"/>
                <w:b w:val="false"/>
                <w:sz w:val="26"/>
              </w:rPr>
              <w:t>Nghị định 38/2015/NĐ-CP</w:t>
            </w:r>
          </w:p>
        </w:tc>
        <w:tc>
          <w:p/>
          <w:p>
            <w:pPr>
              <w:spacing w:after="0" w:before="0" w:lineRule="auto" w:line="276"/>
              <w:jc w:val="left"/>
            </w:pPr>
            <w:r>
              <w:rPr>
                <w:rFonts w:ascii="Times New Roman" w:hAnsi="Times New Roman" w:cs="Times New Roman" w:eastAsia="Times New Roman"/>
                <w:b w:val="false"/>
                <w:sz w:val="26"/>
              </w:rPr>
              <w:t>24-04-2015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41/2015/TT-BTNMT</w:t>
            </w:r>
          </w:p>
        </w:tc>
        <w:tc>
          <w:p/>
          <w:p>
            <w:pPr>
              <w:spacing w:after="0" w:before="0" w:lineRule="auto" w:line="276"/>
              <w:jc w:val="left"/>
            </w:pPr>
            <w:r>
              <w:rPr>
                <w:rFonts w:ascii="Times New Roman" w:hAnsi="Times New Roman" w:cs="Times New Roman" w:eastAsia="Times New Roman"/>
                <w:b w:val="false"/>
                <w:sz w:val="26"/>
              </w:rPr>
              <w:t>Thông tư 41/2015/TT-BTNMT</w:t>
            </w:r>
          </w:p>
        </w:tc>
        <w:tc>
          <w:p/>
          <w:p>
            <w:pPr>
              <w:spacing w:after="0" w:before="0" w:lineRule="auto" w:line="276"/>
              <w:jc w:val="left"/>
            </w:pPr>
            <w:r>
              <w:rPr>
                <w:rFonts w:ascii="Times New Roman" w:hAnsi="Times New Roman" w:cs="Times New Roman" w:eastAsia="Times New Roman"/>
                <w:b w:val="false"/>
                <w:sz w:val="26"/>
              </w:rPr>
              <w:t>09-09-2015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03/2018/TT-BTNMT</w:t>
            </w:r>
          </w:p>
        </w:tc>
        <w:tc>
          <w:p/>
          <w:p>
            <w:pPr>
              <w:spacing w:after="0" w:before="0" w:lineRule="auto" w:line="276"/>
              <w:jc w:val="left"/>
            </w:pPr>
            <w:r>
              <w:rPr>
                <w:rFonts w:ascii="Times New Roman" w:hAnsi="Times New Roman" w:cs="Times New Roman" w:eastAsia="Times New Roman"/>
                <w:b w:val="false"/>
                <w:sz w:val="26"/>
              </w:rPr>
              <w:t>Thông tư 03/2018/TT-BTNMT</w:t>
            </w:r>
          </w:p>
        </w:tc>
        <w:tc>
          <w:p/>
          <w:p>
            <w:pPr>
              <w:spacing w:after="0" w:before="0" w:lineRule="auto" w:line="276"/>
              <w:jc w:val="left"/>
            </w:pPr>
            <w:r>
              <w:rPr>
                <w:rFonts w:ascii="Times New Roman" w:hAnsi="Times New Roman" w:cs="Times New Roman" w:eastAsia="Times New Roman"/>
                <w:b w:val="false"/>
                <w:sz w:val="26"/>
              </w:rPr>
              <w:t>14-08-2018</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Kho lưu giữ phế liệu nhập khẩu
+ Có hệ thống thu gom nước mưa; hệ thống thu gom và biện pháp xử lý các loại nước thải phát sinh trong quá trình lưu giữ phế liệu đảm bảo đạt quy chuẩn kỹ thuật quốc gia về môi trường.
+ Có cao độ nền đảm bảo không bị ngập lụt; mặt sàn trong khu vực lưu giữ phế liệu được thiết kế để tránh nước mưa chảy tràn từ bên ngoài vào; sàn bảo đảm kín khít, không rạn nứt, bằng vật liệu chống thấm, đủ độ bền chịu được tải trọng của lượng phế liệu cao nhất theo tính toán.
+ Có tường và vách ngăn bằng vật liệu không cháy. Có mái che kín nắng, mưa cho toàn bộ khu vực lưu giữ phế liệu bằng vật liệu không cháy; có biện pháp hoặc thiết kế để hạn chế gió trực tiếp vào bên trong.
+ Có thiết bị phòng cháy chữa cháy (ít nhất gồm có bình bọt chữa cháy, cát để dập lửa), sơ đồ thoát hiểm, ký hiệu hướng dẫn thoát hiểm đúng hướng dẫn của cơ quan có thẩm quyền về phòng cháy chữa cháy theo quy định của pháp luật về phòng cháy chữa cháy.
- Bãi lưu giữ phế liệu nhập khẩu
+ Có hệ thống thu gom và biện pháp xử lý nước mưa đợt đầu chảy tràn qua bãi phế liệu nhập khẩu và các loại nước thải phát sinh trong quá trình lưu giữ phế liệu đảm bảo đạt quy chuẩn kỹ thuật môi trường.
+ Có cao độ nền đảm bảo không bị ngập lụt; sàn bảo đảm kín khít, không rạn nứt, bằng vật liệu chống thấm, đủ độ bền chịu được tải trọng của lượng phế liệu cao nhất theo tính toán.
+ Có biện pháp giảm thiểu bụi phát sinh từ bãi lưu giữ phế liệu.
+ Có thiết bị phòng cháy chữa cháy (ít nhất gồm có bình bọt chữa cháy, cát để dập lửa) đúng hướng dẫn của cơ quan có thẩm quyền về phòng cháy chữa cháy theo quy định của pháp luật về phòng cháy chữa cháy.
- Công nghệ, thiết bị tái chế, tái sử dụng phế liệu phải đáp ứng yêu cầu kỹ thuật và quy trình quản lý theo quy định;
- Có công nghệ, thiết bị xử lý tạp chất đi kèm phế liệu đạt quy chuẩn kỹ thuật môi trường. Trường hợp không có công nghệ, thiết bị xử lý tạp chất đi kèm thì phải chuyển giao cho đơn vị có chức năng phù hợp để xử lý;
- Ký quỹ bảo đảm phế liệu nhập khẩu theo quy định tại Nghị định 38/2015/NĐ-CP;
- Có văn bản cam kết về việc tái xuất hoặc xử lý phế liệu trong trường hợp phế liệu nhập khẩu không đáp ứng yêu cầu về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2026-05-26T18:15:34Z</dcterms:created>
  <dc:creator>Apache POI</dc:creator>
</cp:coreProperties>
</file>