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1.004216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893/QĐ-BVHTTDL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xác nhận đăng ký xuất bản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Bản, In và Phát hành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Trước khi xuất bản tác phẩm, tài liệu hoặc tái bản xuất bản phẩm, nhà xuất bản phải đăng ký xuất bản với Cục Xuất bản, In và Phát hành theo mẫu quy định. Nội dung đăng ký xuất bản phải phù hợp với tôn chỉ, mục đích, chức năng, nhiệm vụ của nhà xuất bản.
-  Trong thời hạn 05 ngày làm việc, kể từ ngày nhận được đăng ký xuất bản của nhà xuất bản, Cục Xuất bản, In và Phát hành phải xác nhận đăng ký xuất bản bằng văn bản, cấp số xác nhận đăng ký xuất bản từng tác phẩm, tài liệu hoặc xuất bản phẩm tái bản và cấp mã số sách tiêu chuẩn quốc tế (ISBN); trường hợp không xác nhận đăng ký phải có văn bản trả lời nêu rõ lý do;
- Trong quá trình xác nhận đăng ký, Cục Xuất bản, In và Phát hành có quyền yêu cầu nhà xuất bản thẩm định hoặc giải trình về tác phẩm, tài liệu đăng ký xuất bản, xuất bản phẩm đăng ký tái bản để xác nhận đăng ký.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Nộp trực tiếp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Nộp 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Nộp qua bưu điện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đăng ký xuất bản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 Văn bản thẩm định nội dung đối với tác phẩm, tài liệu thuộc loại phải  thẩm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đăng ký xuất bản, trong đó tóm tắt nội dung về đề tài, chủ đề và nội dung của từng tác phẩm, tài liệu đăng ký xuất bản, xuất bản phẩm đăng ký tái bản, các thông tin theo mẫu Giấy đăng ký xuất bản (mẫu số 05 Phụ lục I.12 ban hành kèm theo Nghị quyết số 66.16/NQ-CP ngày 07/4/2026).</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Xuất bản, In và Phát hành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Xuất bản, In và Phát hành  Số 10 Đường Thành, phường Hoàn Kiếm,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đăng ký xuất bản.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 19/2012/QH13</w:t>
            </w:r>
          </w:p>
        </w:tc>
        <w:tc>
          <w:p/>
          <w:p>
            <w:pPr>
              <w:spacing w:after="0" w:before="0" w:lineRule="auto" w:line="276"/>
              <w:jc w:val="left"/>
            </w:pPr>
            <w:r>
              <w:rPr>
                <w:rFonts w:ascii="Times New Roman" w:hAnsi="Times New Roman" w:cs="Times New Roman" w:eastAsia="Times New Roman"/>
                <w:b w:val="false"/>
                <w:sz w:val="26"/>
              </w:rPr>
              <w:t>Luật 19/2012/QH13</w:t>
            </w:r>
          </w:p>
        </w:tc>
        <w:tc>
          <w:p/>
          <w:p>
            <w:pPr>
              <w:spacing w:after="0" w:before="0" w:lineRule="auto" w:line="276"/>
              <w:jc w:val="left"/>
            </w:pPr>
            <w:r>
              <w:rPr>
                <w:rFonts w:ascii="Times New Roman" w:hAnsi="Times New Roman" w:cs="Times New Roman" w:eastAsia="Times New Roman"/>
                <w:b w:val="false"/>
                <w:sz w:val="26"/>
              </w:rPr>
              <w:t>20-11-2012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195/2013/NĐ-CP</w:t>
            </w:r>
          </w:p>
        </w:tc>
        <w:tc>
          <w:p/>
          <w:p>
            <w:pPr>
              <w:spacing w:after="0" w:before="0" w:lineRule="auto" w:line="276"/>
              <w:jc w:val="left"/>
            </w:pPr>
            <w:r>
              <w:rPr>
                <w:rFonts w:ascii="Times New Roman" w:hAnsi="Times New Roman" w:cs="Times New Roman" w:eastAsia="Times New Roman"/>
                <w:b w:val="false"/>
                <w:sz w:val="26"/>
              </w:rPr>
              <w:t>Nghị định 195/2013/NĐ-CP</w:t>
            </w:r>
          </w:p>
        </w:tc>
        <w:tc>
          <w:p/>
          <w:p>
            <w:pPr>
              <w:spacing w:after="0" w:before="0" w:lineRule="auto" w:line="276"/>
              <w:jc w:val="left"/>
            </w:pPr>
            <w:r>
              <w:rPr>
                <w:rFonts w:ascii="Times New Roman" w:hAnsi="Times New Roman" w:cs="Times New Roman" w:eastAsia="Times New Roman"/>
                <w:b w:val="false"/>
                <w:sz w:val="26"/>
              </w:rPr>
              <w:t>21-11-2013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01/2020/TT-BTTTT</w:t>
            </w:r>
          </w:p>
        </w:tc>
        <w:tc>
          <w:p/>
          <w:p>
            <w:pPr>
              <w:spacing w:after="0" w:before="0" w:lineRule="auto" w:line="276"/>
              <w:jc w:val="left"/>
            </w:pPr>
            <w:r>
              <w:rPr>
                <w:rFonts w:ascii="Times New Roman" w:hAnsi="Times New Roman" w:cs="Times New Roman" w:eastAsia="Times New Roman"/>
                <w:b w:val="false"/>
                <w:sz w:val="26"/>
              </w:rPr>
              <w:t>Thông tư 01/2020/TT-BTTTT</w:t>
            </w:r>
          </w:p>
        </w:tc>
        <w:tc>
          <w:p/>
          <w:p>
            <w:pPr>
              <w:spacing w:after="0" w:before="0" w:lineRule="auto" w:line="276"/>
              <w:jc w:val="left"/>
            </w:pPr>
            <w:r>
              <w:rPr>
                <w:rFonts w:ascii="Times New Roman" w:hAnsi="Times New Roman" w:cs="Times New Roman" w:eastAsia="Times New Roman"/>
                <w:b w:val="false"/>
                <w:sz w:val="26"/>
              </w:rPr>
              <w:t>07-02-2020</w:t>
            </w:r>
          </w:p>
        </w:tc>
        <w:tc>
          <w:p/>
        </w:tc>
      </w:tr>
      <w:tr>
        <w:tc>
          <w:p/>
          <w:p>
            <w:pPr>
              <w:spacing w:after="0" w:before="0" w:lineRule="auto" w:line="276"/>
              <w:jc w:val="left"/>
            </w:pPr>
            <w:r>
              <w:rPr>
                <w:rFonts w:ascii="Times New Roman" w:hAnsi="Times New Roman" w:cs="Times New Roman" w:eastAsia="Times New Roman"/>
                <w:b w:val="false"/>
                <w:sz w:val="26"/>
              </w:rPr>
              <w:t>23/2023/TT-BTTTT</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01/2020/TT-BTTTT ngày 07 tháng 02 năm 2020 của Bộ trưởng Bộ Thông tin và Truyền thông quy định chi tiết và hướng dẫn thi hành một số điều của Luật Xuất bản và Nghị định số 195/2013/NĐ-CP ngày 21 tháng 11 năm 2013 của Chính phủ quy định chi tiết một số điều và biện pháp thi hành Luật Xuất bản</w:t>
            </w:r>
          </w:p>
        </w:tc>
        <w:tc>
          <w:p/>
          <w:p>
            <w:pPr>
              <w:spacing w:after="0" w:before="0" w:lineRule="auto" w:line="276"/>
              <w:jc w:val="left"/>
            </w:pPr>
            <w:r>
              <w:rPr>
                <w:rFonts w:ascii="Times New Roman" w:hAnsi="Times New Roman" w:cs="Times New Roman" w:eastAsia="Times New Roman"/>
                <w:b w:val="false"/>
                <w:sz w:val="26"/>
              </w:rPr>
              <w:t>31-12-2023</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r>
        <w:tc>
          <w:p/>
          <w:p>
            <w:pPr>
              <w:spacing w:after="0" w:before="0" w:lineRule="auto" w:line="276"/>
              <w:jc w:val="left"/>
            </w:pPr>
            <w:r>
              <w:rPr>
                <w:rFonts w:ascii="Times New Roman" w:hAnsi="Times New Roman" w:cs="Times New Roman" w:eastAsia="Times New Roman"/>
                <w:b w:val="false"/>
                <w:sz w:val="26"/>
              </w:rPr>
              <w:t>66.16/NQ-CP</w:t>
            </w:r>
          </w:p>
        </w:tc>
        <w:tc>
          <w:p/>
          <w:p>
            <w:pPr>
              <w:spacing w:after="0" w:before="0" w:lineRule="auto" w:line="276"/>
              <w:jc w:val="left"/>
            </w:pPr>
            <w:r>
              <w:rPr>
                <w:rFonts w:ascii="Times New Roman" w:hAnsi="Times New Roman" w:cs="Times New Roman" w:eastAsia="Times New Roman"/>
                <w:b w:val="false"/>
                <w:sz w:val="26"/>
              </w:rPr>
              <w:t>Nghị quyết 66.16/NQ-CP ngày 07 tháng 4 năm 2026 của Chính phủ quy định cắt giảm, đơn giản hóa thủ tục hành chính, quy định iên quan đến hoạt động sản xuất, kinh doanh.</w:t>
            </w:r>
          </w:p>
        </w:tc>
        <w:tc>
          <w:p/>
          <w:p>
            <w:pPr>
              <w:spacing w:after="0" w:before="0" w:lineRule="auto" w:line="276"/>
              <w:jc w:val="left"/>
            </w:pPr>
            <w:r>
              <w:rPr>
                <w:rFonts w:ascii="Times New Roman" w:hAnsi="Times New Roman" w:cs="Times New Roman" w:eastAsia="Times New Roman"/>
                <w:b w:val="false"/>
                <w:sz w:val="26"/>
              </w:rPr>
              <w:t>07-04-2026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Yêu cầu về quản lý xác nhận đăng ký xuất bản:
(1) Cục Xuất bản, In và Phát hành xác nhận đăng ký xuất bản được cấp cho từng xuất bản phẩm và ghi trong giấy xác nhận đăng ký xuất bản.
(2) Nhà xuất bản phải ghi chính xác số xác nhận đăng ký xuất bản trên xuất bản phẩm được xuất bản theo hướng dẫn trong giấy xác nhận đăng ký xuất bản. Chậm nhất vào ngày 31 tháng 3 hàng năm liền sau năm xác nhận đăng ký xuất bản, nhà xuất bản phải báo cáo với Cục Xuất bản, In và Phát hành danh mục tên xuất bản phẩm đã được cấp số xác nhận đăng ký xuất bản nhưng không thực hiện xuất bản.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2026-05-28T18:05:22Z</dcterms:created>
  <dc:creator>Apache POI</dc:creator>
</cp:coreProperties>
</file>