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75/QĐ-NHNN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thay đổi địa điểm đặt trụ sở phòng giao dịch của quỹ tín dụng nhân dân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ngân hàng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Quỹ tín dụng nhân dân lập 01 bộ hồ sơ theo quy định gửi Ngân hàng Nhà nước chi nhánh Khu vực nơi dự kiến đặt trụ sở phòng giao dịch;
- Bước 2: Trong thời hạn 07 ngày làm việc kể từ ngày nhận được đầy đủ hồ sơ theo quy định, Ngân hàng Nhà nước chi nhánh Khu vực nơi dự kiến đặt trụ sở phòng giao dịch có văn bản gửi quỹ tín dụng nhân dân chấp thuận việc thay đổi địa điểm đặt trụ sở phòng giao dịch theo mẫu quy định tại Phụ lục XI ban hành kèm theo Thông tư số 53/2025/TT-NHNN. Trường hợp không chấp thuận, Ngân hàng Nhà nước chi nhánh Khu vực có văn bản gửi quỹ tín dụng nhân dân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của quỹ tín dụng nhân dân đề nghị chấp thuận thay đổi địa điểm đặt trụ sở phòng giao dịch theo mẫu quy định tại Phụ lục X ban hành kèm theo Thông tư số 53/2025/TT-NHNN; ;</w:t>
            </w:r>
          </w:p>
        </w:tc>
        <w:tc>
          <w:p/>
          <w:p>
            <w:pPr>
              <w:spacing w:after="0" w:before="0" w:lineRule="auto" w:line="276"/>
              <w:jc w:val="left"/>
            </w:pPr>
            <w:r>
              <w:rPr>
                <w:rFonts w:ascii="Times New Roman" w:hAnsi="Times New Roman" w:cs="Times New Roman" w:eastAsia="Times New Roman"/>
                <w:b w:val="false"/>
                <w:sz w:val="26"/>
              </w:rPr>
              <w:t>PhlcX.docx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Hội đồng quản trị về việc thông qua thay đổi địa điểm đặt trụ sở phòng giao dịch.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Khu vực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Khu vực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việc thay đổi địa điểm đặt trụ sở phòng giao dịch của quỹ tín dụng nhân dân;, Văn bản không chấp thuận việc thay đổi địa điểm đặt trụ sở phòng giao dịch của quỹ tín dụng nhân dân./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53/2025/TT-NHNN</w:t>
            </w:r>
          </w:p>
        </w:tc>
        <w:tc>
          <w:p/>
          <w:p>
            <w:pPr>
              <w:spacing w:after="0" w:before="0" w:lineRule="auto" w:line="276"/>
              <w:jc w:val="left"/>
            </w:pPr>
            <w:r>
              <w:rPr>
                <w:rFonts w:ascii="Times New Roman" w:hAnsi="Times New Roman" w:cs="Times New Roman" w:eastAsia="Times New Roman"/>
                <w:b w:val="false"/>
                <w:sz w:val="26"/>
              </w:rPr>
              <w:t>Thông tư quy định về mạng lưới hoạt động của tổ chức tín dụng là hợp tác xã</w:t>
            </w:r>
          </w:p>
        </w:tc>
        <w:tc>
          <w:p/>
          <w:p>
            <w:pPr>
              <w:spacing w:after="0" w:before="0" w:lineRule="auto" w:line="276"/>
              <w:jc w:val="left"/>
            </w:pPr>
            <w:r>
              <w:rPr>
                <w:rFonts w:ascii="Times New Roman" w:hAnsi="Times New Roman" w:cs="Times New Roman" w:eastAsia="Times New Roman"/>
                <w:b w:val="false"/>
                <w:sz w:val="26"/>
              </w:rPr>
              <w:t>26-12-2025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2026-05-23T16:38:42Z</dcterms:created>
  <dc:creator>Apache POI</dc:creator>
</cp:coreProperties>
</file>