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1.004248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285/QĐ-BGTVT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bố hoạt động cảng thủy nội địa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Chủ cảng thủy nội địa gửi hồ sơ đề nghị công bố hoạt động cảng thủy nội địa đến Cục Đường thủy nội địa Việt Nam hoặc Sở Giao thông vận tải (cơ quan đã chấp thuận chủ trương xây dựng cảng).</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Trường hợp nộp hồ sơ trực tiếp, nếu hồ sơ đầy đủ thì cấp giấy biên nhận hồ sơ và hẹn trả kết quả theo thời hạn quy định; nếu hồ sơ chưa đầy đủ theo quy định thì trả lại ngay và hướng dẫn chủ cảng hoàn thiện hồ sơ.</w:t>
      </w:r>
    </w:p>
    <w:p>
      <w:pPr>
        <w:spacing w:after="0" w:before="0" w:lineRule="auto" w:line="276"/>
        <w:jc w:val="both"/>
      </w:pPr>
      <w:r>
        <w:rPr>
          <w:rFonts w:ascii="Times New Roman" w:hAnsi="Times New Roman" w:cs="Times New Roman" w:eastAsia="Times New Roman"/>
          <w:b w:val="false"/>
          <w:sz w:val="26"/>
        </w:rPr>
        <w:t>Trường hợp nhận hồ sơ qua hệ thống bưu chính hoặc hình thức phù hợp khác, nếu hồ sơ chưa đầy đủ theo quy định, trong thời gian 02 ngày làm việc, kể từ ngày nhận hồ sơ, Cục Đường thủy nội địa Việt Nam hoặc Sở Giao thông vận tải có văn bản yêu cầu chủ cảng bổ sung, hoàn thiện hồ sơ.</w:t>
      </w:r>
    </w:p>
    <w:p>
      <w:pPr>
        <w:spacing w:after="0" w:before="0" w:lineRule="auto" w:line="276"/>
        <w:jc w:val="both"/>
      </w:pPr>
      <w:r>
        <w:rPr>
          <w:rFonts w:ascii="Times New Roman" w:hAnsi="Times New Roman" w:cs="Times New Roman" w:eastAsia="Times New Roman"/>
          <w:b w:val="false"/>
          <w:sz w:val="26"/>
        </w:rPr>
        <w:t>Đối với cảng thủy nội địa có tiếp nhận phương tiện thủy nước ngoài:</w:t>
      </w:r>
    </w:p>
    <w:p>
      <w:pPr>
        <w:spacing w:after="0" w:before="0" w:lineRule="auto" w:line="276"/>
        <w:jc w:val="both"/>
      </w:pPr>
      <w:r>
        <w:rPr>
          <w:rFonts w:ascii="Times New Roman" w:hAnsi="Times New Roman" w:cs="Times New Roman" w:eastAsia="Times New Roman"/>
          <w:b w:val="false"/>
          <w:sz w:val="26"/>
        </w:rPr>
        <w:t xml:space="preserve">        + Trong phạm vi trách nhiệm của mình, Cục Đường thủy nội địa Việt Nam hoặc Sở Giao thông vận tải thẩm định hồ sơ, trình Bộ Giao thông vận tải kết quả thẩm định, kèm theo 01 bộ hồ sơ đề nghị công bố hoạt động cảng thủy nội địa do chủ cảng nộp trong thời hạn 05 ngày làm việc, kể từ ngày nhận đủ hồ sơ theo quy định.</w:t>
      </w:r>
    </w:p>
    <w:p>
      <w:pPr>
        <w:spacing w:after="0" w:before="0" w:lineRule="auto" w:line="276"/>
        <w:jc w:val="both"/>
      </w:pPr>
      <w:r>
        <w:rPr>
          <w:rFonts w:ascii="Times New Roman" w:hAnsi="Times New Roman" w:cs="Times New Roman" w:eastAsia="Times New Roman"/>
          <w:b w:val="false"/>
          <w:sz w:val="26"/>
        </w:rPr>
        <w:t xml:space="preserve">        + Bộ Giao thông vận tải ra quyết định công bố hoạt động cảng thủy nội địa theo mẫu và gửi cho chủ cảng trong thời hạn 05 (năm) ngày, kể từ ngày nhận được tờ trình thẩm định hồ sơ đề nghị công bố hoạt động cảng thủy nội địa. Trường hợp không chấp thuận phải có văn bản trả lời nêu rõ lý do.</w:t>
      </w:r>
    </w:p>
    <w:p>
      <w:pPr>
        <w:spacing w:after="0" w:before="0" w:lineRule="auto" w:line="276"/>
        <w:jc w:val="both"/>
      </w:pPr>
      <w:r>
        <w:rPr>
          <w:rFonts w:ascii="Times New Roman" w:hAnsi="Times New Roman" w:cs="Times New Roman" w:eastAsia="Times New Roman"/>
          <w:b w:val="false"/>
          <w:sz w:val="26"/>
        </w:rPr>
        <w:t>Đối với cảng thủy nội địa không tiếp nhận phương tiện thủy nước ngoài: Trong thời hạn 05 ngày làm việc, kể từ ngày nhận được hồ sơ theo quy định, Cục Đường thủy nội địa Việt Nam hoặc Sở Giao thông vận tải ra quyết định công bố hoạt động cảng thủy nội địa theo mẫu và gửi cho chủ cảng. Trường hợp không chấp thuận phải có văn bản trả lời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Đối với cảng thủy nội địa có tiếp nhận phương tiện thủy nước ngoài: trong thời hạn 10 ngày làm việc, kể từ ngày nhận được hồ sơ theo quy định. - Đối với cảng thủy nội địa không tiếp nhận phương tiện thủy nước ngoài: trong thời hạn 05 ngày làm việc, kể từ ngày nhận được hồ sơ theo quy định. </w:t>
            </w:r>
          </w:p>
        </w:tc>
        <w:tc>
          <w:p/>
          <w:p>
            <w:pPr>
              <w:spacing w:after="0" w:before="0" w:lineRule="auto" w:line="276"/>
              <w:jc w:val="left"/>
            </w:pPr>
            <w:r>
              <w:rPr>
                <w:rFonts w:ascii="Times New Roman" w:hAnsi="Times New Roman" w:cs="Times New Roman" w:eastAsia="Times New Roman"/>
                <w:b w:val="false"/>
                <w:sz w:val="26"/>
              </w:rPr>
              <w:t>Lệ phí : 100000 Đồng</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Đối với cảng thủy nội địa có tiếp nhận phương tiện thủy nước ngoài: trong thời hạn 10 ngày làm việc, kể từ ngày nhận được hồ sơ theo quy định. - Đối với cảng thủy nội địa không tiếp nhận phương tiện thủy nước ngoài: trong thời hạn 05 ngày làm việc, kể từ ngày nhận được hồ sơ theo quy định. </w:t>
            </w:r>
          </w:p>
        </w:tc>
        <w:tc>
          <w:p/>
          <w:p>
            <w:pPr>
              <w:spacing w:after="0" w:before="0" w:lineRule="auto" w:line="276"/>
              <w:jc w:val="left"/>
            </w:pPr>
            <w:r>
              <w:rPr>
                <w:rFonts w:ascii="Times New Roman" w:hAnsi="Times New Roman" w:cs="Times New Roman" w:eastAsia="Times New Roman"/>
                <w:b w:val="false"/>
                <w:sz w:val="26"/>
              </w:rPr>
              <w:t>Lệ phí : 100000 Đồng</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Đối với cảng thủy nội địa có tiếp nhận phương tiện thủy nước ngoài: trong thời hạn 10 ngày làm việc, kể từ ngày nhận được hồ sơ theo quy định. - Đối với cảng thủy nội địa không tiếp nhận phương tiện thủy nước ngoài: trong thời hạn 05 ngày làm việc, kể từ ngày nhận được hồ sơ theo quy định. </w:t>
            </w:r>
          </w:p>
        </w:tc>
        <w:tc>
          <w:p/>
          <w:p>
            <w:pPr>
              <w:spacing w:after="0" w:before="0" w:lineRule="auto" w:line="276"/>
              <w:jc w:val="left"/>
            </w:pPr>
            <w:r>
              <w:rPr>
                <w:rFonts w:ascii="Times New Roman" w:hAnsi="Times New Roman" w:cs="Times New Roman" w:eastAsia="Times New Roman"/>
                <w:b w:val="false"/>
                <w:sz w:val="26"/>
              </w:rPr>
              <w:t>Lệ phí : 100000 Đồng</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công bố cảng thủy nội địa theo mẫu;</w:t>
            </w:r>
          </w:p>
        </w:tc>
        <w:tc>
          <w:p/>
          <w:p>
            <w:pPr>
              <w:spacing w:after="0" w:before="0" w:lineRule="auto" w:line="276"/>
              <w:jc w:val="left"/>
            </w:pPr>
            <w:r>
              <w:rPr>
                <w:rFonts w:ascii="Times New Roman" w:hAnsi="Times New Roman" w:cs="Times New Roman" w:eastAsia="Times New Roman"/>
                <w:b w:val="false"/>
                <w:sz w:val="26"/>
              </w:rPr>
              <w:t>Mẫu6.docx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chứng thực quyết định đầu tư xây dựng cảng của cấp có thẩm quyền theo quy định của pháp luật về đầu tư hoặc bản sao kèm theo bản chính để đối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Hồ sơ thiết kế kỹ thuật được duyệt; hồ sơ hoàn công;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nghiệm thu công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Bình đồ vùng nước của cảng;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chứng nhận an toàn kỹ thuật và bảo vệ môi trường của phao nổi (nếu sử dụng phao nổi thay cho cầu tàu);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văn bản chứng nhận an ninh đối với cảng thủy nội địa có tiếp nhận phương tiện thủy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Đường thủy nội địa Việt Nam, Sở Giao thông vận tải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Đường thủy nội địa Việt Nam, Sở Giao thông vận tải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Đường thủy nội địa Việt Nam hoặc Sở Giao thông vận tải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bố hoạt động cảng thủy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23/2004/QH11</w:t>
            </w:r>
          </w:p>
        </w:tc>
        <w:tc>
          <w:p/>
          <w:p>
            <w:pPr>
              <w:spacing w:after="0" w:before="0" w:lineRule="auto" w:line="276"/>
              <w:jc w:val="left"/>
            </w:pPr>
            <w:r>
              <w:rPr>
                <w:rFonts w:ascii="Times New Roman" w:hAnsi="Times New Roman" w:cs="Times New Roman" w:eastAsia="Times New Roman"/>
                <w:b w:val="false"/>
                <w:sz w:val="26"/>
              </w:rPr>
              <w:t>Giao thông đường thủy nội địa</w:t>
            </w:r>
          </w:p>
        </w:tc>
        <w:tc>
          <w:p/>
          <w:p>
            <w:pPr>
              <w:spacing w:after="0" w:before="0" w:lineRule="auto" w:line="276"/>
              <w:jc w:val="left"/>
            </w:pPr>
            <w:r>
              <w:rPr>
                <w:rFonts w:ascii="Times New Roman" w:hAnsi="Times New Roman" w:cs="Times New Roman" w:eastAsia="Times New Roman"/>
                <w:b w:val="false"/>
                <w:sz w:val="26"/>
              </w:rPr>
              <w:t>15-06-2004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48/2014/QH13</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Giao thông đường thủy nội địa</w:t>
            </w:r>
          </w:p>
        </w:tc>
        <w:tc>
          <w:p/>
          <w:p>
            <w:pPr>
              <w:spacing w:after="0" w:before="0" w:lineRule="auto" w:line="276"/>
              <w:jc w:val="left"/>
            </w:pPr>
            <w:r>
              <w:rPr>
                <w:rFonts w:ascii="Times New Roman" w:hAnsi="Times New Roman" w:cs="Times New Roman" w:eastAsia="Times New Roman"/>
                <w:b w:val="false"/>
                <w:sz w:val="26"/>
              </w:rPr>
              <w:t>17-06-2014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50/2014/TT-BGTVT</w:t>
            </w:r>
          </w:p>
        </w:tc>
        <w:tc>
          <w:p/>
          <w:p>
            <w:pPr>
              <w:spacing w:after="0" w:before="0" w:lineRule="auto" w:line="276"/>
              <w:jc w:val="left"/>
            </w:pPr>
            <w:r>
              <w:rPr>
                <w:rFonts w:ascii="Times New Roman" w:hAnsi="Times New Roman" w:cs="Times New Roman" w:eastAsia="Times New Roman"/>
                <w:b w:val="false"/>
                <w:sz w:val="26"/>
              </w:rPr>
              <w:t>Quy định về quản lý cảng, bến thủy nội địa</w:t>
            </w:r>
          </w:p>
        </w:tc>
        <w:tc>
          <w:p/>
          <w:p>
            <w:pPr>
              <w:spacing w:after="0" w:before="0" w:lineRule="auto" w:line="276"/>
              <w:jc w:val="left"/>
            </w:pPr>
            <w:r>
              <w:rPr>
                <w:rFonts w:ascii="Times New Roman" w:hAnsi="Times New Roman" w:cs="Times New Roman" w:eastAsia="Times New Roman"/>
                <w:b w:val="false"/>
                <w:sz w:val="26"/>
              </w:rPr>
              <w:t>17-10-2014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198/2016/TT-BTC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lệ phí trong lĩnh vực đường thủy nội địa và đường sắt</w:t>
            </w:r>
          </w:p>
        </w:tc>
        <w:tc>
          <w:p/>
          <w:p>
            <w:pPr>
              <w:spacing w:after="0" w:before="0" w:lineRule="auto" w:line="276"/>
              <w:jc w:val="left"/>
            </w:pPr>
            <w:r>
              <w:rPr>
                <w:rFonts w:ascii="Times New Roman" w:hAnsi="Times New Roman" w:cs="Times New Roman" w:eastAsia="Times New Roman"/>
                <w:b w:val="false"/>
                <w:sz w:val="26"/>
              </w:rPr>
              <w:t>08-11-2016</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2026-04-29T10:06:05Z</dcterms:created>
  <dc:creator>Apache POI</dc:creator>
</cp:coreProperties>
</file>