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kết nối để cung cấp dịch vụ nội dung thông tin trên mạng viễn thông di động.  (KHÔNG SỬ DỤNG THỦ TỤC NÀY)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Lĩnh vực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doanh nghiệp có Giấy chứng nhận bị mất, bị hư hại không còn sử dụng được thực hiện gửi hồ sơ đề nghị cấp lại Giấy chứng nhận đến Ủy ban nhân dân cấp tỉnh nơi tổ chức, doanh nghiệp đặt trụ sở chính.
2. Trong thời hạn 05 ngày làm việc, kể từ ngày nhận được đơn đề nghị hợp lệ, Ủy ban nhân dân cấp tỉnh xem xét, cấp lại Giấy chứng nhận cho doanh nghiệp, đồng thời gửi Bộ Khoa học và Công nghệ (Cục Viễn thông) một bản sao Giấy chứng nhận để phối hợp trong công tác quản lý. 
Trường hợp từ chối, Ủy ban nhân dân cấp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(năm)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kết nối để cung cấp dịch vụ nội dung thông tin trên mạng viễn thông di động theo Mẫu số 60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Mauso60.DoncaplaiGCNdangkyketnoicungcapdichvunoidungthongtintrenmangdidong.docx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Viễn thông, Toà nhà VNTA, Dương Đình Nghệ, phường Yên Hoà,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kết nối để cung cấp dịch vụ nội dung thông tin trên mạng viễn thông di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41/2009/QH12</w:t>
            </w:r>
          </w:p>
        </w:tc>
        <w:tc>
          <w:p/>
          <w:p>
            <w:pPr>
              <w:spacing w:after="0" w:before="0" w:lineRule="auto" w:line="276"/>
              <w:jc w:val="left"/>
            </w:pPr>
            <w:r>
              <w:rPr>
                <w:rFonts w:ascii="Times New Roman" w:hAnsi="Times New Roman" w:cs="Times New Roman" w:eastAsia="Times New Roman"/>
                <w:b w:val="false"/>
                <w:sz w:val="26"/>
              </w:rPr>
              <w:t>Luật viễn thông</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2026-05-09T03:15:15Z</dcterms:created>
  <dc:creator>Apache POI</dc:creator>
</cp:coreProperties>
</file>