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1.004266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821/QĐ-BVHTTDL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sản xuất kênh chương trình trong nước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Phát thanh, truyền hình và thông tin điện tử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Cơ quan báo chí được cấp giấy phép hoạt động phát thanh, truyền hình có nhu cầu gửi hồ sơ về Bộ VHTTDL (Cục Phát thanh, truyền hình và Thông tin điện tử).
- Trong thời hạn 24 ngày làm việc, kể từ ngày nhận được hồ sơ hợp lệ, Bộ VHTTDL có trách nhiệm xét cấp Giấy phép sản xuất kênh chương trình trong nước. Trường hợp không cấp Giấy phép, Bộ VHTTDL có văn bản trả lời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24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24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24 ngày làm việc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Thành phần hồ sơ</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phép sản xuất kênh chương trình trong nước theo mẫu của Bộ Thông tin và Truyền thông quy định</w:t>
            </w:r>
          </w:p>
        </w:tc>
        <w:tc>
          <w:p/>
          <w:p>
            <w:pPr>
              <w:spacing w:after="0" w:before="0" w:lineRule="auto" w:line="276"/>
              <w:jc w:val="left"/>
            </w:pPr>
            <w:r>
              <w:rPr>
                <w:rFonts w:ascii="Times New Roman" w:hAnsi="Times New Roman" w:cs="Times New Roman" w:eastAsia="Times New Roman"/>
                <w:b w:val="false"/>
                <w:sz w:val="26"/>
              </w:rPr>
              <w:t>Mauso12-DondenghicapGiayphepsanxuatkenhchuongtrinhPTTHtrongnuoc.docx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Đề án sản xuất kênh chương trình trong đó nêu rõ: Mục đích sản xuất; tên gọi, biểu tượng (lôgô); tôn chỉ, mục đích kênh chương trình; nội dung kênh chương trình; độ phân giải hình ảnh của kênh chương trình; khung chương trình dự kiến trong 01 (một) tháng; đối tượng khán giả; năng lực sản xuất kênh chương trình (gồm: Nhân sự, cơ sở vật chất, trang thiết bị, tài chính); quy trình tổ chức sản xuất và quản lý nội dung kênh chương trình; phương thức kỹ thuật phân phối kênh chương trình đến các đơn vị cung cấp dịch vụ phát thanh, truyền hình; hiệu quả kinh tế xã hội của kênh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kênh chương trình là sản phẩm liên kết, Đề án sản xuất kênh chương trình phải cung cấp các thông tin về sản phẩm liên kết, gồm: Địa chỉ, năng lực của đối tác liên kết; hình thức liên kết; quyền và nghĩa vụ các bên tham gia liên kết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phê duyệt Đề án sản xuất kênh chương trình của cơ quan chủ quản đối với các cơ quan báo chí của tỉnh, thành phố trực thuộc Trung ương hoặc các Bộ, ngành; đối với các cơ quan báo chí Trung ương, Đề án sản xuất phải được người đứng đầu cơ quan báo chí phê duyệt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đề nghị cấp Giấy phép sản xuất nhiều kênh chương trình, đơn vị đề nghị cấp Giấy phép phải làm Đề án riêng đối với từng kênh chương trình cụ thể</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Phát thanh, truyền hình và thông tin điện tử</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Văn hóa, Thể thao và Du lịch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sản xuất kênh chương trình trong nước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103/2016/QH13	</w:t>
            </w:r>
          </w:p>
        </w:tc>
        <w:tc>
          <w:p/>
          <w:p>
            <w:pPr>
              <w:spacing w:after="0" w:before="0" w:lineRule="auto" w:line="276"/>
              <w:jc w:val="left"/>
            </w:pPr>
            <w:r>
              <w:rPr>
                <w:rFonts w:ascii="Times New Roman" w:hAnsi="Times New Roman" w:cs="Times New Roman" w:eastAsia="Times New Roman"/>
                <w:b w:val="false"/>
                <w:sz w:val="26"/>
              </w:rPr>
              <w:t>Luật 103/2016/QH13</w:t>
            </w:r>
          </w:p>
        </w:tc>
        <w:tc>
          <w:p/>
          <w:p>
            <w:pPr>
              <w:spacing w:after="0" w:before="0" w:lineRule="auto" w:line="276"/>
              <w:jc w:val="left"/>
            </w:pPr>
            <w:r>
              <w:rPr>
                <w:rFonts w:ascii="Times New Roman" w:hAnsi="Times New Roman" w:cs="Times New Roman" w:eastAsia="Times New Roman"/>
                <w:b w:val="false"/>
                <w:sz w:val="26"/>
              </w:rPr>
              <w:t>05-04-2016</w:t>
            </w:r>
          </w:p>
        </w:tc>
        <w:tc>
          <w:p/>
        </w:tc>
      </w:tr>
      <w:tr>
        <w:tc>
          <w:p/>
          <w:p>
            <w:pPr>
              <w:spacing w:after="0" w:before="0" w:lineRule="auto" w:line="276"/>
              <w:jc w:val="left"/>
            </w:pPr>
            <w:r>
              <w:rPr>
                <w:rFonts w:ascii="Times New Roman" w:hAnsi="Times New Roman" w:cs="Times New Roman" w:eastAsia="Times New Roman"/>
                <w:b w:val="false"/>
                <w:sz w:val="26"/>
              </w:rPr>
              <w:t>06/2016/NĐ-CP</w:t>
            </w:r>
          </w:p>
        </w:tc>
        <w:tc>
          <w:p/>
          <w:p>
            <w:pPr>
              <w:spacing w:after="0" w:before="0" w:lineRule="auto" w:line="276"/>
              <w:jc w:val="left"/>
            </w:pPr>
            <w:r>
              <w:rPr>
                <w:rFonts w:ascii="Times New Roman" w:hAnsi="Times New Roman" w:cs="Times New Roman" w:eastAsia="Times New Roman"/>
                <w:b w:val="false"/>
                <w:sz w:val="26"/>
              </w:rPr>
              <w:t>Nghị định 06/2016/NĐ-CP</w:t>
            </w:r>
          </w:p>
        </w:tc>
        <w:tc>
          <w:p/>
          <w:p>
            <w:pPr>
              <w:spacing w:after="0" w:before="0" w:lineRule="auto" w:line="276"/>
              <w:jc w:val="left"/>
            </w:pPr>
            <w:r>
              <w:rPr>
                <w:rFonts w:ascii="Times New Roman" w:hAnsi="Times New Roman" w:cs="Times New Roman" w:eastAsia="Times New Roman"/>
                <w:b w:val="false"/>
                <w:sz w:val="26"/>
              </w:rPr>
              <w:t>18-01-2016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19/2016/TT-BTTTT</w:t>
            </w:r>
          </w:p>
        </w:tc>
        <w:tc>
          <w:p/>
          <w:p>
            <w:pPr>
              <w:spacing w:after="0" w:before="0" w:lineRule="auto" w:line="276"/>
              <w:jc w:val="left"/>
            </w:pPr>
            <w:r>
              <w:rPr>
                <w:rFonts w:ascii="Times New Roman" w:hAnsi="Times New Roman" w:cs="Times New Roman" w:eastAsia="Times New Roman"/>
                <w:b w:val="false"/>
                <w:sz w:val="26"/>
              </w:rPr>
              <w:t>Thông tư 19/2016/TT-BTTTT</w:t>
            </w:r>
          </w:p>
        </w:tc>
        <w:tc>
          <w:p/>
          <w:p>
            <w:pPr>
              <w:spacing w:after="0" w:before="0" w:lineRule="auto" w:line="276"/>
              <w:jc w:val="left"/>
            </w:pPr>
            <w:r>
              <w:rPr>
                <w:rFonts w:ascii="Times New Roman" w:hAnsi="Times New Roman" w:cs="Times New Roman" w:eastAsia="Times New Roman"/>
                <w:b w:val="false"/>
                <w:sz w:val="26"/>
              </w:rPr>
              <w:t>30-06-2016</w:t>
            </w:r>
          </w:p>
        </w:tc>
        <w:tc>
          <w:p/>
          <w:p>
            <w:pPr>
              <w:spacing w:after="0" w:before="0" w:lineRule="auto" w:line="276"/>
              <w:jc w:val="left"/>
            </w:pPr>
            <w:r>
              <w:rPr>
                <w:rFonts w:ascii="Times New Roman" w:hAnsi="Times New Roman" w:cs="Times New Roman" w:eastAsia="Times New Roman"/>
                <w:b w:val="false"/>
                <w:sz w:val="26"/>
              </w:rPr>
              <w:t>Bộ Khoa học và Công nghệ ( Bộ TTTT cũ)</w:t>
            </w:r>
          </w:p>
        </w:tc>
      </w:tr>
      <w:tr>
        <w:tc>
          <w:p/>
          <w:p>
            <w:pPr>
              <w:spacing w:after="0" w:before="0" w:lineRule="auto" w:line="276"/>
              <w:jc w:val="left"/>
            </w:pPr>
            <w:r>
              <w:rPr>
                <w:rFonts w:ascii="Times New Roman" w:hAnsi="Times New Roman" w:cs="Times New Roman" w:eastAsia="Times New Roman"/>
                <w:b w:val="false"/>
                <w:sz w:val="26"/>
              </w:rPr>
              <w:t>71/2022/NĐ-CP</w:t>
            </w:r>
          </w:p>
        </w:tc>
        <w:tc>
          <w:p/>
          <w:p>
            <w:pPr>
              <w:spacing w:after="0" w:before="0" w:lineRule="auto" w:line="276"/>
              <w:jc w:val="left"/>
            </w:pPr>
            <w:r>
              <w:rPr>
                <w:rFonts w:ascii="Times New Roman" w:hAnsi="Times New Roman" w:cs="Times New Roman" w:eastAsia="Times New Roman"/>
                <w:b w:val="false"/>
                <w:sz w:val="26"/>
              </w:rPr>
              <w:t>Nghị định 71/2022/NĐ-CP</w:t>
            </w:r>
          </w:p>
        </w:tc>
        <w:tc>
          <w:p/>
          <w:p>
            <w:pPr>
              <w:spacing w:after="0" w:before="0" w:lineRule="auto" w:line="276"/>
              <w:jc w:val="left"/>
            </w:pPr>
            <w:r>
              <w:rPr>
                <w:rFonts w:ascii="Times New Roman" w:hAnsi="Times New Roman" w:cs="Times New Roman" w:eastAsia="Times New Roman"/>
                <w:b w:val="false"/>
                <w:sz w:val="26"/>
              </w:rPr>
              <w:t>01-10-2022</w:t>
            </w:r>
          </w:p>
        </w:tc>
        <w:tc>
          <w:p/>
        </w:tc>
      </w:tr>
      <w:tr>
        <w:tc>
          <w:p/>
          <w:p>
            <w:pPr>
              <w:spacing w:after="0" w:before="0" w:lineRule="auto" w:line="276"/>
              <w:jc w:val="left"/>
            </w:pPr>
            <w:r>
              <w:rPr>
                <w:rFonts w:ascii="Times New Roman" w:hAnsi="Times New Roman" w:cs="Times New Roman" w:eastAsia="Times New Roman"/>
                <w:b w:val="false"/>
                <w:sz w:val="26"/>
              </w:rPr>
              <w:t>05/2023/TT-BTTTT</w:t>
            </w:r>
          </w:p>
        </w:tc>
        <w:tc>
          <w:p/>
          <w:p>
            <w:pPr>
              <w:spacing w:after="0" w:before="0" w:lineRule="auto" w:line="276"/>
              <w:jc w:val="left"/>
            </w:pPr>
            <w:r>
              <w:rPr>
                <w:rFonts w:ascii="Times New Roman" w:hAnsi="Times New Roman" w:cs="Times New Roman" w:eastAsia="Times New Roman"/>
                <w:b w:val="false"/>
                <w:sz w:val="26"/>
              </w:rPr>
              <w:t>Thông tư số 05/2023/TT-BTTTT sửa đổi, bổ sung một số điều của Thông tư số 19/2016/TT-BTTTT ngày 30/6/2016</w:t>
            </w:r>
          </w:p>
        </w:tc>
        <w:tc>
          <w:p/>
          <w:p>
            <w:pPr>
              <w:spacing w:after="0" w:before="0" w:lineRule="auto" w:line="276"/>
              <w:jc w:val="left"/>
            </w:pPr>
            <w:r>
              <w:rPr>
                <w:rFonts w:ascii="Times New Roman" w:hAnsi="Times New Roman" w:cs="Times New Roman" w:eastAsia="Times New Roman"/>
                <w:b w:val="false"/>
                <w:sz w:val="26"/>
              </w:rPr>
              <w:t>30-06-2023</w:t>
            </w:r>
          </w:p>
        </w:tc>
        <w:tc>
          <w:p/>
          <w:p>
            <w:pPr>
              <w:spacing w:after="0" w:before="0" w:lineRule="auto" w:line="276"/>
              <w:jc w:val="left"/>
            </w:pPr>
            <w:r>
              <w:rPr>
                <w:rFonts w:ascii="Times New Roman" w:hAnsi="Times New Roman" w:cs="Times New Roman" w:eastAsia="Times New Roman"/>
                <w:b w:val="false"/>
                <w:sz w:val="26"/>
              </w:rPr>
              <w:t>Bộ Khoa học và Công nghệ ( Bộ TTTT cũ)</w:t>
            </w:r>
          </w:p>
        </w:tc>
      </w:tr>
      <w:tr>
        <w:tc>
          <w:p/>
          <w:p>
            <w:pPr>
              <w:spacing w:after="0" w:before="0" w:lineRule="auto" w:line="276"/>
              <w:jc w:val="left"/>
            </w:pPr>
            <w:r>
              <w:rPr>
                <w:rFonts w:ascii="Times New Roman" w:hAnsi="Times New Roman" w:cs="Times New Roman" w:eastAsia="Times New Roman"/>
                <w:b w:val="false"/>
                <w:sz w:val="26"/>
              </w:rPr>
              <w:t>116/2026/NĐ-CP</w:t>
            </w:r>
          </w:p>
        </w:tc>
        <w:tc>
          <w:p/>
          <w:p>
            <w:pPr>
              <w:spacing w:after="0" w:before="0" w:lineRule="auto" w:line="276"/>
              <w:jc w:val="left"/>
            </w:pPr>
            <w:r>
              <w:rPr>
                <w:rFonts w:ascii="Times New Roman" w:hAnsi="Times New Roman" w:cs="Times New Roman" w:eastAsia="Times New Roman"/>
                <w:b w:val="false"/>
                <w:sz w:val="26"/>
              </w:rPr>
              <w:t>Nghị định số 116/2026/NĐ-CP ngày 02/4/2026 của Chính phủ sửa đổi, bổ sung một số điều của các Nghị định có quy định thủ tục hành chính liên quan đến hoạt động sản xuất, kinh doanh thuộc phạm vi quản lý của Bộ Văn hóa, Thể thao và Du lịch</w:t>
            </w:r>
          </w:p>
        </w:tc>
        <w:tc>
          <w:p/>
          <w:p>
            <w:pPr>
              <w:spacing w:after="0" w:before="0" w:lineRule="auto" w:line="276"/>
              <w:jc w:val="left"/>
            </w:pPr>
            <w:r>
              <w:rPr>
                <w:rFonts w:ascii="Times New Roman" w:hAnsi="Times New Roman" w:cs="Times New Roman" w:eastAsia="Times New Roman"/>
                <w:b w:val="false"/>
                <w:sz w:val="26"/>
              </w:rPr>
              <w:t>02-04-2026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2026-05-26T23:47:57Z</dcterms:created>
  <dc:creator>Apache POI</dc:creator>
</cp:coreProperties>
</file>