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1.004272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87/QĐ-BTNMT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Chấp thuận đăng ký vận chuyển xuyên biên giới chất thải nguy hại theo Công ước Basel về kiểm soát vận chuyển xuyên biên giới chất thải nguy hại và việc tiêu hủy chúng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Môi trường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Nộp hồ sơ: 
Tổ chức, cá nhân nộp hồ sơ đăng ký xuất khẩu chất thải nguy hại (CTNH) qua hệ thống dịch vụ công trực tuyến của Bộ Tài nguyên và Môi trường theo địa chỉ https://dichvucong.monre.gov.vn, Cổng dịch vụ công quốc gia theo địa chỉ https://dichvucong.gov.vn hoặc gửi trực tiếp, qua dịch vụ bưu chính đến Văn phòng tiếp nhận và trả kết quả giải quyết thủ tục hành chính của Bộ Tài nguyên và Môi trường, địa chỉ số 10 Tôn Thất Thuyết, quận Nam Từ Liêm, Hà Nội.</w:t>
      </w:r>
    </w:p>
    <w:p>
      <w:pPr>
        <w:spacing w:after="0" w:before="0" w:lineRule="auto" w:line="276"/>
        <w:jc w:val="both"/>
      </w:pPr>
      <w:r>
        <w:rPr>
          <w:rFonts w:ascii="Times New Roman" w:hAnsi="Times New Roman" w:cs="Times New Roman" w:eastAsia="Times New Roman"/>
          <w:b w:val="false"/>
          <w:sz w:val="26"/>
        </w:rPr>
        <w:t>Bước 2. Kiểm tra hồ sơ: 
Cơ quan thẩm quyền Công ước Basel tại Việt Nam trực thuộc Bộ Tài nguyên và Môi trường xem xét hồ sơ; trường hợp hồ sơ chưa đầy đủ, chưa hợp lệ, Bộ Tài nguyên và Môi trường có văn bản thông báo gửi tổ chức, cá nhân để hoàn thiện.</w:t>
      </w:r>
    </w:p>
    <w:p>
      <w:pPr>
        <w:spacing w:after="0" w:before="0" w:lineRule="auto" w:line="276"/>
        <w:jc w:val="both"/>
      </w:pPr>
      <w:r>
        <w:rPr>
          <w:rFonts w:ascii="Times New Roman" w:hAnsi="Times New Roman" w:cs="Times New Roman" w:eastAsia="Times New Roman"/>
          <w:b w:val="false"/>
          <w:sz w:val="26"/>
        </w:rPr>
        <w:t>Bước 3. Thẩm định hồ sơ, trả kết quả:
- Đối với hồ sơ hợp lệ, Cơ quan thẩm quyền Công ước Basel tại Việt Nam trực thuộc Bộ Tài nguyên và Môi trường gửi Văn bản thông báo (kèm theo thông báo vận chuyển bằng tiếng Anh) việc xuất khẩu CTNH của tổ chức, cá nhân đăng ký đến Cơ quan thẩm quyền Công ước Basel của quốc gia nhập khẩu và quốc gia quá cảnh CTNH (nếu có). 
- Khi nhận được Văn bản chấp thuận của Cơ quan thẩm quyền Công ước Basel của quốc gia nhập khẩu và quốc gia quá cảnh (nếu có), Bộ Tài nguyên và Môi trường ban hành Văn bản chấp thuận xuất khẩu CTNH và chuyển cho tổ chức, cá nhân đăng ký.
- Trường hợp nhận được Văn bản không chấp thuận của Cơ quan thẩm quyền Công ước Basel của quốc gia nhập khẩu hoặc quốc gia quá cảnh (nếu có), Bộ Tài nguyên và Môi trường có văn bản trả lời gửi tổ chức, cá nhân và nêu rõ lý do.
- Xuất khẩu CTNH theo nội dung Văn bản chấp thuận:
Tổ chức, cá nhân được phép xuất khẩu lập hồ sơ vận chuyển (ít nhất là 02 bộ) cho từng chuyến vận chuyển CTNH theo mẫu bằng tiếng Anh (Movement document for transboundary movements/shipments of waste:
http://www.basel.int/Portals/4/Basel%20Convention/docs/techmatters/forms-notif-mov/vCOP8.doc).
Sau khi chuyển giao CTNH cho đơn vị xử lý của nước nhập khẩu, tổ chức, cá nhân được Bộ Tài nguyên và Môi trường chấp thuận việc xuất khẩu CTNH phải lưu 01 (một) bộ hồ sơ vận chuyển và gửi 01 (một) bộ hồ sơ đã có xác nhận của đơn vị xử lý ở nước ngoài cho Bộ Tài nguyên và Môi trường.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Tùy theo giai đoạn xử lý hồ sơ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hạn kiểm tra, trả lời về tính đầy đủ, hợp lệ của hồ sơ: tối đa 10 (mười) ngày làm việc kể từ ngày nhận được hồ sơ.
- Thời hạn gửi văn bản thông báo cho cơ quan thẩm quyền Công ước Basel của quốc gia nhập khẩu và quá cảnh (nếu có): tối đa 10 (mười) ngày làm việc kể từ ngày nhận được hồ sơ đầy đủ, hợp lệ. 
- Thời hạn cấp Văn bản chấp thuận: tối đa 20 (hai mươi) ngày làm việc kể từ khi nhận được văn bản chấp thuận của tất cả các cơ quan thẩm quyền Công ước Basel của quốc gia nhập khẩu và quá cảnh (nếu có). 
Thời gian trả lời của quốc gia nhập khẩu và quá cảnh đối với văn bản thông báo về xuất khẩu CTNH và thời gian tổ chức, cá nhân chỉnh sửa, bổ sung hồ sơ không tính vào thời gian giải quyết thủ tục hành chính của cơ quan cấp phép.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Tùy theo giai đoạn xử lý hồ sơ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hạn kiểm tra, trả lời về tính đầy đủ, hợp lệ của hồ sơ: tối đa 10 (mười) ngày làm việc kể từ ngày nhận được hồ sơ.
- Thời hạn gửi văn bản thông báo cho cơ quan thẩm quyền Công ước Basel của quốc gia nhập khẩu và quá cảnh (nếu có): tối đa 10 (mười) ngày làm việc kể từ ngày nhận được hồ sơ đầy đủ, hợp lệ. 
- Thời hạn cấp Văn bản chấp thuận: tối đa 20 (hai mươi) ngày làm việc kể từ khi nhận được văn bản chấp thuận của tất cả các cơ quan thẩm quyền Công ước Basel của quốc gia nhập khẩu và quá cảnh (nếu có). 
Thời gian trả lời của quốc gia nhập khẩu và quá cảnh đối với văn bản thông báo về xuất khẩu CTNH và thời gian tổ chức, cá nhân chỉnh sửa, bổ sung hồ sơ không tính vào thời gian giải quyết thủ tục hành chính của cơ quan cấp phép.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Tùy theo giai đoạn xử lý hồ sơ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hạn kiểm tra, trả lời về tính đầy đủ, hợp lệ của hồ sơ: tối đa 10 (mười) ngày làm việc kể từ ngày nhận được hồ sơ.
- Thời hạn gửi văn bản thông báo cho cơ quan thẩm quyền Công ước Basel của quốc gia nhập khẩu và quá cảnh (nếu có): tối đa 10 (mười) ngày làm việc kể từ ngày nhận được hồ sơ đầy đủ, hợp lệ. 
- Thời hạn cấp Văn bản chấp thuận: tối đa 20 (hai mươi) ngày làm việc kể từ khi nhận được văn bản chấp thuận của tất cả các cơ quan thẩm quyền Công ước Basel của quốc gia nhập khẩu và quá cảnh (nếu có). 
Thời gian trả lời của quốc gia nhập khẩu và quá cảnh đối với văn bản thông báo về xuất khẩu CTNH và thời gian tổ chức, cá nhân chỉnh sửa, bổ sung hồ sơ không tính vào thời gian giải quyết thủ tục hành chính của cơ quan cấp phép.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đăng ký vận chuyển xuyên biên giới chất thải nguy hại</w:t>
            </w:r>
          </w:p>
        </w:tc>
        <w:tc>
          <w:p/>
          <w:p>
            <w:pPr>
              <w:spacing w:after="0" w:before="0" w:lineRule="auto" w:line="276"/>
              <w:jc w:val="left"/>
            </w:pPr>
            <w:r>
              <w:rPr>
                <w:rFonts w:ascii="Times New Roman" w:hAnsi="Times New Roman" w:cs="Times New Roman" w:eastAsia="Times New Roman"/>
                <w:b w:val="false"/>
                <w:sz w:val="26"/>
              </w:rPr>
              <w:t>Don dang ky van chuyen xuyen bien gioi CTNH.docx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hợp đồng xử lý chất thải nguy hại với đơn vị xử lý chất thải nguy hại tại quốc gia nhập khẩu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hợp đồng ký với chủ nguồn thải chất thải nguy hại trong trường hợp chủ nguồn thải ủy quyền cho nhà xuất khẩu đại diện đăng ký và thực hiện thủ tục vận chuyển xuyên biên giới chất thải nguy hại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hợp đồng ký với đơn vị đăng ký bảo hiểm cho lô hàng chất thải nguy hại vận chuyển xuyên biên giới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Thông báo vận chuyển bằng tiếng Anh thực hiện theo mẫu quy định của Công ước Basel (https://www.basel.int/Portals/4/Basel%20Convention/docs/techmatters/forms-notif-mov/vCOP8.doc)</w:t>
            </w:r>
          </w:p>
        </w:tc>
        <w:tc>
          <w:p/>
          <w:p>
            <w:pPr>
              <w:spacing w:after="0" w:before="0" w:lineRule="auto" w:line="276"/>
              <w:jc w:val="left"/>
            </w:pPr>
            <w:r>
              <w:rPr>
                <w:rFonts w:ascii="Times New Roman" w:hAnsi="Times New Roman" w:cs="Times New Roman" w:eastAsia="Times New Roman"/>
                <w:b w:val="false"/>
                <w:sz w:val="26"/>
              </w:rPr>
              <w:t>Notification form_Basel.doc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Tài nguyên và Môi trường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Tài nguyên và Môi trường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Văn phòng Tiếp nhận và Trả kết quả - Bộ Tài nguyên và Môi trường, số 10 phố Tôn Thất Thuyết, quận Nam Từ Liêm, TP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chấp thuận vận chuyển xuyên biên giới CTNH hoặc Văn bản không chấp thuận vận chuyển xuyên biên giới CTNH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 	178/2015/TTLT-BTC-BNNPTNT-BTNMT-BYT </w:t>
            </w:r>
          </w:p>
        </w:tc>
        <w:tc>
          <w:p/>
          <w:p>
            <w:pPr>
              <w:spacing w:after="0" w:before="0" w:lineRule="auto" w:line="276"/>
              <w:jc w:val="left"/>
            </w:pPr>
            <w:r>
              <w:rPr>
                <w:rFonts w:ascii="Times New Roman" w:hAnsi="Times New Roman" w:cs="Times New Roman" w:eastAsia="Times New Roman"/>
                <w:b w:val="false"/>
                <w:sz w:val="26"/>
              </w:rPr>
              <w:t>Hướng dẫn thực hiện Cơ chế một cửa quốc gia</w:t>
            </w:r>
          </w:p>
        </w:tc>
        <w:tc>
          <w:p/>
          <w:p>
            <w:pPr>
              <w:spacing w:after="0" w:before="0" w:lineRule="auto" w:line="276"/>
              <w:jc w:val="left"/>
            </w:pPr>
            <w:r>
              <w:rPr>
                <w:rFonts w:ascii="Times New Roman" w:hAnsi="Times New Roman" w:cs="Times New Roman" w:eastAsia="Times New Roman"/>
                <w:b w:val="false"/>
                <w:sz w:val="26"/>
              </w:rPr>
              <w:t>12-11-2015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72/2020/QH14</w:t>
            </w:r>
          </w:p>
        </w:tc>
        <w:tc>
          <w:p/>
          <w:p>
            <w:pPr>
              <w:spacing w:after="0" w:before="0" w:lineRule="auto" w:line="276"/>
              <w:jc w:val="left"/>
            </w:pPr>
            <w:r>
              <w:rPr>
                <w:rFonts w:ascii="Times New Roman" w:hAnsi="Times New Roman" w:cs="Times New Roman" w:eastAsia="Times New Roman"/>
                <w:b w:val="false"/>
                <w:sz w:val="26"/>
              </w:rPr>
              <w:t>Luật Bảo vệ môi trường số 72/2020/QH14 ngày 17 tháng 11 năm 2020</w:t>
            </w:r>
          </w:p>
        </w:tc>
        <w:tc>
          <w:p/>
          <w:p>
            <w:pPr>
              <w:spacing w:after="0" w:before="0" w:lineRule="auto" w:line="276"/>
              <w:jc w:val="left"/>
            </w:pPr>
            <w:r>
              <w:rPr>
                <w:rFonts w:ascii="Times New Roman" w:hAnsi="Times New Roman" w:cs="Times New Roman" w:eastAsia="Times New Roman"/>
                <w:b w:val="false"/>
                <w:sz w:val="26"/>
              </w:rPr>
              <w:t>17-11-2020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08/2022/NĐ-CP</w:t>
            </w:r>
          </w:p>
        </w:tc>
        <w:tc>
          <w:p/>
          <w:p>
            <w:pPr>
              <w:spacing w:after="0" w:before="0" w:lineRule="auto" w:line="276"/>
              <w:jc w:val="left"/>
            </w:pPr>
            <w:r>
              <w:rPr>
                <w:rFonts w:ascii="Times New Roman" w:hAnsi="Times New Roman" w:cs="Times New Roman" w:eastAsia="Times New Roman"/>
                <w:b w:val="false"/>
                <w:sz w:val="26"/>
              </w:rPr>
              <w:t>Nghị định số 08/2022/NĐ-CP</w:t>
            </w:r>
          </w:p>
        </w:tc>
        <w:tc>
          <w:p/>
          <w:p>
            <w:pPr>
              <w:spacing w:after="0" w:before="0" w:lineRule="auto" w:line="276"/>
              <w:jc w:val="left"/>
            </w:pPr>
            <w:r>
              <w:rPr>
                <w:rFonts w:ascii="Times New Roman" w:hAnsi="Times New Roman" w:cs="Times New Roman" w:eastAsia="Times New Roman"/>
                <w:b w:val="false"/>
                <w:sz w:val="26"/>
              </w:rPr>
              <w:t>10-01-2022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02/2022/TT-BTNMT</w:t>
            </w:r>
          </w:p>
        </w:tc>
        <w:tc>
          <w:p/>
          <w:p>
            <w:pPr>
              <w:spacing w:after="0" w:before="0" w:lineRule="auto" w:line="276"/>
              <w:jc w:val="left"/>
            </w:pPr>
            <w:r>
              <w:rPr>
                <w:rFonts w:ascii="Times New Roman" w:hAnsi="Times New Roman" w:cs="Times New Roman" w:eastAsia="Times New Roman"/>
                <w:b w:val="false"/>
                <w:sz w:val="26"/>
              </w:rPr>
              <w:t>Thông tư số 02/2022/TT-BTNMT</w:t>
            </w:r>
          </w:p>
        </w:tc>
        <w:tc>
          <w:p/>
          <w:p>
            <w:pPr>
              <w:spacing w:after="0" w:before="0" w:lineRule="auto" w:line="276"/>
              <w:jc w:val="left"/>
            </w:pPr>
            <w:r>
              <w:rPr>
                <w:rFonts w:ascii="Times New Roman" w:hAnsi="Times New Roman" w:cs="Times New Roman" w:eastAsia="Times New Roman"/>
                <w:b w:val="false"/>
                <w:sz w:val="26"/>
              </w:rPr>
              <w:t>10-01-2022</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2026-05-24T15:32:34Z</dcterms:created>
  <dc:creator>Apache POI</dc:creator>
</cp:coreProperties>
</file>