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tiền cấp quyền khai thác tài nguyên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Chủ giấy phép đề nghị phê duyệt tiền cấp quyền nộp 01 bộ hồ sơ trực tiếp tại Trung tâm phục vụ hành chính công cấp tỉnh (sau đây gọi tắt là Bộ phận Một cửa) hoặc qua dịch vụ bưu chính hoặc qua ủy quyền theo quy định của pháp luật hoặc trực tuyến tại Cổng Dịch vụ công quốc gia.</w:t>
      </w:r>
    </w:p>
    <w:p>
      <w:pPr>
        <w:spacing w:after="0" w:before="0" w:lineRule="auto" w:line="276"/>
        <w:jc w:val="both"/>
      </w:pPr>
      <w:r>
        <w:rPr>
          <w:rFonts w:ascii="Times New Roman" w:hAnsi="Times New Roman" w:cs="Times New Roman" w:eastAsia="Times New Roman"/>
          <w:b w:val="false"/>
          <w:sz w:val="26"/>
        </w:rPr>
        <w:t>- Bước 2: Tiếp nhận, kiểm tra hồ sơ:
Bộ phận Một cửa có trách nhiệm tiếp nhận hồ sơ, kiểm tra, xem xét tính đầy đủ, hợp lệ của hồ sơ.
+ Trường hợp hồ sơ không hợp lệ, Bộ phận Một cửa trả lại hồ sơ và thông báo rõ lý do cho chủ giấy phép. 
+ Trường hợp hồ sơ hợp lệ, Bộ phận Một cửa chuyển hồ sơ cho Sở Nông nghiệp và Môi trường để tổ chức thẩm định.</w:t>
      </w:r>
    </w:p>
    <w:p>
      <w:pPr>
        <w:spacing w:after="0" w:before="0" w:lineRule="auto" w:line="276"/>
        <w:jc w:val="both"/>
      </w:pPr>
      <w:r>
        <w:rPr>
          <w:rFonts w:ascii="Times New Roman" w:hAnsi="Times New Roman" w:cs="Times New Roman" w:eastAsia="Times New Roman"/>
          <w:b w:val="false"/>
          <w:sz w:val="26"/>
        </w:rPr>
        <w:t>- Bước 3: Thẩm định hồ sơ và quyết định phê duyệt tiền cấp quyền:
Kể từ ngày nhận đủ hồ sơ hợp lệ, Sở Nông nghiệp và Môi trường có trách nhiệm thẩm định hồ sơ tính tiền cấp quyền; nếu cần thiết thì thành lập Hội đồng thẩm định hồ sơ tính tiền cấp quyền khai thác tài nguyên nước.
+ Trường hợp đủ điều kiện, Sở Nông nghiệp và Môi trường trình Chủ tịch Ủy ban nhân dân tỉnh phê duyệt; trường hợp không đủ điều kiện thì trả lại hồ sơ cho chủ giấy phép đề nghị phê duyệt tiền cấp quyền và thông báo rõ lý do bằng văn bản.
+ Trường hợp phải bổ sung, chỉnh sửa để hoàn thiện hồ sơ, Sở Nông nghiệp và Môi trường gửi văn bản thông báo cho chủ giấy phép đề nghị phê duyệt tiền cấp quyền nêu rõ những nội dung cần bổ sung, hoàn thiện hồ sơ. 
Thời gian bổ sung, hoàn thiện hồ sơ không tính vào thời gian thẩm định. Thời gian thẩm định sau khi được bổ sung hoàn chỉnh là 7 ngày làm việc.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- 24 ngày làm việc (trường hợp theo quy định tại điểm a khoản 1 Điều 52 Nghị định số 54/2024/NĐ-CP được sửa đổi, bổ sung bởi khoản 33 Điều 2 Nghị định số 23/2026/NĐ-CP).</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- 11 ngày làm việc (trường hợp theo quy định tại các điểm b, c, d, đ, e, g, h, i và k khoản 1 Điều 52 Nghị định số 54/2024/NĐ-CP được sửa đổi, bổ sung bởi khoản 33 Điều 2 Nghị định số 23/2026/NĐ-CP).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- 24 ngày làm việc (trường hợp theo quy định tại điểm a khoản 1 Điều 52 Nghị định số 54/2024/NĐ-CP được sửa đổi, bổ sung bởi khoản 33 Điều 2 Nghị định số 23/2026/NĐ-CP).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- 11 ngày làm việc (trường hợp theo quy định tại các điểm b, c, d, đ, e, g, h, i và k khoản 1 Điều 52 Nghị định số 54/2024/NĐ-CP được sửa đổi, bổ sung bởi khoản 33 Điều 2 Nghị định số 23/2026/NĐ-CP).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- 24 ngày làm việc (trường hợp theo quy định tại điểm a khoản 1 Điều 52 Nghị định số 54/2024/NĐ-CP được sửa đổi, bổ sung bởi khoản 33 Điều 2 Nghị định số 23/2026/NĐ-CP).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- 11 ngày làm việc (trường hợp theo quy định tại các điểm b, c, d, đ, e, g, h, i và k khoản 1 Điều 52 Nghị định số 54/2024/NĐ-CP được sửa đổi, bổ sung bởi khoản 33 Điều 2 Nghị định số 23/2026/NĐ-CP).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kê khai tính tiền cấp quyền khai thác tài nguyên nước theo Mẫu 57</w:t>
            </w:r>
          </w:p>
        </w:tc>
        <w:tc>
          <w:p/>
          <w:p>
            <w:pPr>
              <w:spacing w:after="0" w:before="0" w:lineRule="auto" w:line="276"/>
              <w:jc w:val="left"/>
            </w:pPr>
            <w:r>
              <w:rPr>
                <w:rFonts w:ascii="Times New Roman" w:hAnsi="Times New Roman" w:cs="Times New Roman" w:eastAsia="Times New Roman"/>
                <w:b w:val="false"/>
                <w:sz w:val="26"/>
              </w:rPr>
              <w:t>Mau57.doc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việc điều chỉnh tiền cấp quyền khai thác TNN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hoặc Sở Nông nghiệp và Môi trường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quả của thủ tục Điều chỉnh tiền cấp quyền khai thác tài nguyên nước đối với công trình đã vận hành theo Mẫu 58 tại Phụ lục III kèm theo Nghị định số  23/2026/NĐ-CP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28/2023/QH15</w:t>
            </w:r>
          </w:p>
        </w:tc>
        <w:tc>
          <w:p/>
          <w:p>
            <w:pPr>
              <w:spacing w:after="0" w:before="0" w:lineRule="auto" w:line="276"/>
              <w:jc w:val="left"/>
            </w:pPr>
            <w:r>
              <w:rPr>
                <w:rFonts w:ascii="Times New Roman" w:hAnsi="Times New Roman" w:cs="Times New Roman" w:eastAsia="Times New Roman"/>
                <w:b w:val="false"/>
                <w:sz w:val="26"/>
              </w:rPr>
              <w:t>Luật Tài nguyên nước năm 2023</w:t>
            </w:r>
          </w:p>
        </w:tc>
        <w:tc>
          <w:p/>
          <w:p>
            <w:pPr>
              <w:spacing w:after="0" w:before="0" w:lineRule="auto" w:line="276"/>
              <w:jc w:val="left"/>
            </w:pPr>
            <w:r>
              <w:rPr>
                <w:rFonts w:ascii="Times New Roman" w:hAnsi="Times New Roman" w:cs="Times New Roman" w:eastAsia="Times New Roman"/>
                <w:b w:val="false"/>
                <w:sz w:val="26"/>
              </w:rPr>
              <w:t>27-11-2023</w:t>
            </w:r>
          </w:p>
        </w:tc>
        <w:tc>
          <w:p/>
        </w:tc>
      </w:tr>
      <w:tr>
        <w:tc>
          <w:p/>
          <w:p>
            <w:pPr>
              <w:spacing w:after="0" w:before="0" w:lineRule="auto" w:line="276"/>
              <w:jc w:val="left"/>
            </w:pPr>
            <w:r>
              <w:rPr>
                <w:rFonts w:ascii="Times New Roman" w:hAnsi="Times New Roman" w:cs="Times New Roman" w:eastAsia="Times New Roman"/>
                <w:b w:val="false"/>
                <w:sz w:val="26"/>
              </w:rPr>
              <w:t>54/2024/NĐ-CP</w:t>
            </w:r>
          </w:p>
        </w:tc>
        <w:tc>
          <w:p/>
          <w:p>
            <w:pPr>
              <w:spacing w:after="0" w:before="0" w:lineRule="auto" w:line="276"/>
              <w:jc w:val="left"/>
            </w:pPr>
            <w:r>
              <w:rPr>
                <w:rFonts w:ascii="Times New Roman" w:hAnsi="Times New Roman" w:cs="Times New Roman" w:eastAsia="Times New Roman"/>
                <w:b w:val="false"/>
                <w:sz w:val="26"/>
              </w:rPr>
              <w:t>QUY ĐỊNH VIỆC HÀNH NGHỀ KHOAN NƯỚC DƯỚI ĐẤT, KÊ KHAI, ĐĂNG KÝ, CẤP PHÉP, DỊCH VỤ TÀI NGUYÊN NƯỚC VÀ TIỀN CẤP QUYỀN KHAI THÁC TÀI NGUYÊN NƯỚC</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Nghị định quy định phân quyền, phân cấp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14/2025/TT-BNNMT</w:t>
            </w:r>
          </w:p>
        </w:tc>
        <w:tc>
          <w:p/>
          <w:p>
            <w:pPr>
              <w:spacing w:after="0" w:before="0" w:lineRule="auto" w:line="276"/>
              <w:jc w:val="left"/>
            </w:pPr>
            <w:r>
              <w:rPr>
                <w:rFonts w:ascii="Times New Roman" w:hAnsi="Times New Roman" w:cs="Times New Roman" w:eastAsia="Times New Roman"/>
                <w:b w:val="false"/>
                <w:sz w:val="26"/>
              </w:rPr>
              <w:t>14/2025/TT-BNNMT</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2026-05-20T05:35:56Z</dcterms:created>
  <dc:creator>Apache POI</dc:creator>
</cp:coreProperties>
</file>