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2787/QĐ-BTNMT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hạn/điều chỉnh giấy phép xả nước thải vào nguồn nước với lưu lượng từ 30.000m3/ngày đêm trở lên đối với hoạt động nuôi trồng thủy sản; lưu lương từ 3.000m3/ngày đêm trở lên đối với các hoạt động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hồ sơ và nộp phí thẩm định hồ sơ đến Cục Quản lý tài nguyên nước, Bộ Tài nguyên và Môi trường và hồ sơ tới Sở Tài nguyên và Môi trường địa phương dự định đặt công trình.</w:t>
      </w:r>
    </w:p>
    <w:p>
      <w:pPr>
        <w:spacing w:after="0" w:before="0" w:lineRule="auto" w:line="276"/>
        <w:jc w:val="both"/>
      </w:pPr>
      <w:r>
        <w:rPr>
          <w:rFonts w:ascii="Times New Roman" w:hAnsi="Times New Roman" w:cs="Times New Roman" w:eastAsia="Times New Roman"/>
          <w:b w:val="false"/>
          <w:sz w:val="26"/>
        </w:rPr>
        <w:t>- Bước 2. Kiểm tra hồ sơ:
Cục Quản lý tài nguyên nước có trách nhiệm xem xét, kiểm tra hồ sơ.
+ Trường hợp hồ sơ không hợp lệ, Cục Quản lý tài nguyên nước thông báo cho tổ chức, cá nhân đề nghị cấp phép để bổ sung, hoàn thiện hồ sơ theo quy định.
+ Trường hợp hồ sơ sau khi đã bổ sung mà vẫn không đáp ứng yêu cầu theo quy định thì Cục Quản lý tài nguyên nước trả lại hồ sơ và thông báo rõ lý do.</w:t>
      </w:r>
    </w:p>
    <w:p>
      <w:pPr>
        <w:spacing w:after="0" w:before="0" w:lineRule="auto" w:line="276"/>
        <w:jc w:val="both"/>
      </w:pPr>
      <w:r>
        <w:rPr>
          <w:rFonts w:ascii="Times New Roman" w:hAnsi="Times New Roman" w:cs="Times New Roman" w:eastAsia="Times New Roman"/>
          <w:b w:val="false"/>
          <w:sz w:val="26"/>
        </w:rPr>
        <w:t>- Bước 3: Thẩm định báo cáo và quyết định cấp phép:
Kể từ ngày nhận đủ hồ sơ hợp lệ, Cục Quản lý tài nguyên nước có trách nhiệm thẩm định báo cáo; nếu cần thiết thì kiểm tra thực tế hiện trường, lập hội đồng thẩm định báo cáo.
+ Trường hợp đủ điều kiện gia hạn, điều chỉnh cấp phép, Cục Quản lý tài nguyên nước trình Bộ Tài nguyên và Môi trường; trường hợp không đủ điều kiện để gia hạn, điều chỉnh, Cục Quản lý tài nguyên nước trả lại hồ sơ cho tổ chức, cá nhân và thông báo lý do không gia hạn, điều chỉnh.
+ Trường hợp phải bổ sung, chỉnh sửa để hoàn thiện báo cáo, Cục Quản lý tài nguyên nước gửi văn bản thông báo cho tổ chức, cá nhân đề nghị cấp phép nêu rõ những nội dung cần bổ sung, hoàn thiện.
Thời gian bổ sung, hoàn thiện hoặc lập lại báo cáo không tính vào thời gian thẩm định báo cáo. Thời gian thẩm định sau khi báo cáo được bổ sung hoàn chỉnh là hai mươi (20) ngày làm việc.
+ Trường hợp phải lập lại báo cáo, Cục Quản lý tài nguyên nước gửi văn bản thông báo cho tổ chức, cá nhân nêu rõ những nội dung báo cáo chưa đạt yêu cầu, phải làm lại và trả lại hồ sơ.</w:t>
      </w:r>
    </w:p>
    <w:p>
      <w:pPr>
        <w:spacing w:after="0" w:before="0" w:lineRule="auto" w:line="276"/>
        <w:jc w:val="both"/>
      </w:pPr>
      <w:r>
        <w:rPr>
          <w:rFonts w:ascii="Times New Roman" w:hAnsi="Times New Roman" w:cs="Times New Roman" w:eastAsia="Times New Roman"/>
          <w:b w:val="false"/>
          <w:sz w:val="26"/>
        </w:rPr>
        <w:t>- Bước 4. Thông báo kết quả:
Cục Quản lý tài nguyên nước thông báo cho tổ chức, cá nhân để thực hiện nghĩa vụ tài chính và nhận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(bằng 50% mức thu so với cấp phép. )</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năm (05) ngày làm việc, kể từ ngày nhận hồ sơ, Cục Quản lý tài nguyên nước có trách nhiệm xem xét, kiểm tra hồ sơ.
- Thời hạn thẩm định báo cáo: Trong thời hạn hai mươi lăm (25) ngày làm việc, kể từ ngày nhận đủ hồ sơ hợp lệ, Cục quản lý tài nguyên nước có trách nhiệm thẩm định báo cáo.
Thời gian bổ sung, hoàn thiện hoặc lập lại báo cáo không tính vào thời gian thẩm định báo cáo. Thời gian thẩm định sau khi báo cáo được bổ sung hoàn chỉnh là hai mươi (20) ngày làm việc.
- Thời hạn trả giấy phép: Trong thời hạn năm (05) ngày làm việc, kể từ ngày nhận được giấy phép của Bộ Tài nguyên và Môi trường, Cục quản lý tài nguyên nước thông báo cho tổ chức, cá nhân đề nghị cấp phép để thực hiện nghĩa vụ tài chính và nhận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hoặc điều chỉnh giấy phép.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phân tích chất lượng nước thải và chất lượng nguồn nước tiếp nhận tại vị trí xả thải vào nguồn nước. Thời điểm lấy mẫu phân tích chất lượng nước không quá ba (03) tháng tính đến thời điểm nộp hồ sơ.</w:t>
            </w:r>
          </w:p>
        </w:tc>
        <w:tc>
          <w:p/>
          <w:p>
            <w:pPr>
              <w:spacing w:after="0" w:before="0" w:lineRule="auto" w:line="276"/>
              <w:jc w:val="left"/>
            </w:pPr>
            <w:r>
              <w:rPr>
                <w:rFonts w:ascii="Times New Roman" w:hAnsi="Times New Roman" w:cs="Times New Roman" w:eastAsia="Times New Roman"/>
                <w:b w:val="false"/>
                <w:sz w:val="26"/>
              </w:rPr>
              <w:t>Mẫu số 35.docx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hiện trạng xả nước thải và tình hình thực hiện các quy định trong giấy phép. Trường hợp điều chỉnh quy mô, phương thức, chế độ xả nước thải, quy trình vận hành thì phải có đề án xả nước thải.</w:t>
            </w:r>
          </w:p>
        </w:tc>
        <w:tc>
          <w:p/>
          <w:p>
            <w:pPr>
              <w:spacing w:after="0" w:before="0" w:lineRule="auto" w:line="276"/>
              <w:jc w:val="left"/>
            </w:pPr>
            <w:r>
              <w:rPr>
                <w:rFonts w:ascii="Times New Roman" w:hAnsi="Times New Roman" w:cs="Times New Roman" w:eastAsia="Times New Roman"/>
                <w:b w:val="false"/>
                <w:sz w:val="26"/>
              </w:rPr>
              <w:t>Mẫu số 37.docx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xả nước thải vào nguồn nước theo mẫu 20 ban hành kèm theo Thông tư số 27/2014/TT-BTNMT.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tài nguyên nước - 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(gia hạn, điều chỉnh) xả nước thải vào nguồn nước theo mẫu 21 ban hành kèm theo Thông tư 27/2014/TT-BTNMT.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201/2013/NĐ-CP</w:t>
            </w:r>
          </w:p>
        </w:tc>
        <w:tc>
          <w:p/>
          <w:p>
            <w:pPr>
              <w:spacing w:after="0" w:before="0" w:lineRule="auto" w:line="276"/>
              <w:jc w:val="left"/>
            </w:pPr>
            <w:r>
              <w:rPr>
                <w:rFonts w:ascii="Times New Roman" w:hAnsi="Times New Roman" w:cs="Times New Roman" w:eastAsia="Times New Roman"/>
                <w:b w:val="false"/>
                <w:sz w:val="26"/>
              </w:rPr>
              <w:t>Nghị định 201/2013/NĐ-CP</w:t>
            </w:r>
          </w:p>
        </w:tc>
        <w:tc>
          <w:p/>
          <w:p>
            <w:pPr>
              <w:spacing w:after="0" w:before="0" w:lineRule="auto" w:line="276"/>
              <w:jc w:val="left"/>
            </w:pPr>
            <w:r>
              <w:rPr>
                <w:rFonts w:ascii="Times New Roman" w:hAnsi="Times New Roman" w:cs="Times New Roman" w:eastAsia="Times New Roman"/>
                <w:b w:val="false"/>
                <w:sz w:val="26"/>
              </w:rPr>
              <w:t>27-11-2013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27/2014/TT-BTNMT</w:t>
            </w:r>
          </w:p>
        </w:tc>
        <w:tc>
          <w:p/>
          <w:p>
            <w:pPr>
              <w:spacing w:after="0" w:before="0" w:lineRule="auto" w:line="276"/>
              <w:jc w:val="left"/>
            </w:pPr>
            <w:r>
              <w:rPr>
                <w:rFonts w:ascii="Times New Roman" w:hAnsi="Times New Roman" w:cs="Times New Roman" w:eastAsia="Times New Roman"/>
                <w:b w:val="false"/>
                <w:sz w:val="26"/>
              </w:rPr>
              <w:t>Thông tư 27/2014/TT-BTNMT</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60/2016/NĐ-CP</w:t>
            </w:r>
          </w:p>
        </w:tc>
        <w:tc>
          <w:p/>
          <w:p>
            <w:pPr>
              <w:spacing w:after="0" w:before="0" w:lineRule="auto" w:line="276"/>
              <w:jc w:val="left"/>
            </w:pPr>
            <w:r>
              <w:rPr>
                <w:rFonts w:ascii="Times New Roman" w:hAnsi="Times New Roman" w:cs="Times New Roman" w:eastAsia="Times New Roman"/>
                <w:b w:val="false"/>
                <w:sz w:val="26"/>
              </w:rPr>
              <w:t>Nghị định 60/2016/NĐ-CP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17/2012/QH13</w:t>
            </w:r>
          </w:p>
        </w:tc>
        <w:tc>
          <w:p/>
          <w:p>
            <w:pPr>
              <w:spacing w:after="0" w:before="0" w:lineRule="auto" w:line="276"/>
              <w:jc w:val="left"/>
            </w:pPr>
            <w:r>
              <w:rPr>
                <w:rFonts w:ascii="Times New Roman" w:hAnsi="Times New Roman" w:cs="Times New Roman" w:eastAsia="Times New Roman"/>
                <w:b w:val="false"/>
                <w:sz w:val="26"/>
              </w:rPr>
              <w:t>Luật 17/2012/QH13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270/2016/TT-BTC</w:t>
            </w:r>
          </w:p>
        </w:tc>
        <w:tc>
          <w:p/>
          <w:p>
            <w:pPr>
              <w:spacing w:after="0" w:before="0" w:lineRule="auto" w:line="276"/>
              <w:jc w:val="left"/>
            </w:pPr>
            <w:r>
              <w:rPr>
                <w:rFonts w:ascii="Times New Roman" w:hAnsi="Times New Roman" w:cs="Times New Roman" w:eastAsia="Times New Roman"/>
                <w:b w:val="false"/>
                <w:sz w:val="26"/>
              </w:rPr>
              <w:t>Thông tư 270/2016/TT-BTC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Nghị định 136/2018/NĐ-CP</w:t>
            </w:r>
          </w:p>
        </w:tc>
        <w:tc>
          <w:p/>
          <w:p>
            <w:pPr>
              <w:spacing w:after="0" w:before="0" w:lineRule="auto" w:line="276"/>
              <w:jc w:val="left"/>
            </w:pPr>
            <w:r>
              <w:rPr>
                <w:rFonts w:ascii="Times New Roman" w:hAnsi="Times New Roman" w:cs="Times New Roman" w:eastAsia="Times New Roman"/>
                <w:b w:val="false"/>
                <w:sz w:val="26"/>
              </w:rPr>
              <w:t>05-10-2018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đề án, báo cáo phù hợp với quy hoạch tài nguyên nước đã được phê duyệt hoặc phù hợp với khả năng nguồn nước, khả năng tiếp nhận nước thải của nguồn nước nếu chưa có quy hoạch tài nguyên nước; thông tin, số liệu sử dụng để lập đề án phải đảm bảo đầy đủ, rõ ràng, chính xác và trung thực. Đề án, báo cáo phải do tổ chức, cá nhân có đủ điều kiện năng lực lập:
            (1) Điều kiện đối với đội ngũ cán bộ chuyên môn của tổ chức lập đề án, báo cáo trong hồ sơ đề nghị cấp giấy phép tài nguyên nước
            - Cán bộ chuyên môn:có cán bộ được đào tạo các chuyên ngành liên quan đến nước dưới đất (địa chất, địa chất thủy văn, địa chất công trình, khoan thăm dò, địa vật lý, địa kỹ thuật);
            - Kinh nghiệm công tác: người phụ trách kỹ thuật của đề án, báo cáo đã trực tiếp tham gia lập ít nhất 03 (ba) đề án, báo cáo;
            - Cùng một thời điểm, người phụ trách kỹ thuật của đề án, báo cáo chỉ đảm nhận phụ trách kỹ thuật tối đa không quá 03 đề án, báo cáo.
            (2) Điều kiện đối với cá nhân tư vấn độc lập thực hiện việc lập đề án, báo cáo trong hồ sơ đề nghị cấp giấy phép tài nguyên nước
            Đối với cá nhân tư vấn độc lập thực hiện việc lập đề án, báo cáo trong hồ sơ đề nghị cấp giấy phép tài nguyên nước phải đáp ứng các điều kiện:
            - Là công dân Việt Nam hoặc người nước ngoài có giấy phép lao động tại Việt Nam theo quy định của pháp luật về lao động;
            - Có văn bằng đào tạo trình độ từ đại học trở lên, chuyên ngành đào tạo phù hợp với nhiệm vụ được giao. Các văn bằng này được các cơ sở đào tạo của Việt Nam hoặc nước ngoài cấp theo quy định của pháp luật;
            - Chuyên ngành đào tạo liên quan đến nước dưới đất (địa chất, địa chất thủy văn, địa chất công trình, khoan thăm dò, địa vật lý, địa kỹ thuật)
            - Kinh nghiệm công tác:  đã là người phụ trách kỹ thuật của ít nhất 05 (năm) đề án, báo cáo;
            - Cùng một thời điểm, cá nhân tư vấn độc lập chỉ được nhận tư vấn lập 01 đề án, báo cáo trong hồ sơ đề nghị cấp giấy phép tài nguyên nước.
            (3) Hồ sơ năng lực của tổ chức, cá nhân tham gia thực hiện đề án, dự án, báo cáo trong lĩnh vực tài nguyên nước
            - Tổ chức, cá nhân hành nghề khi thực hiện lập đề án, báo cáo trong hồ sơ đề nghị cấp giấy phép tài nguyên nước phải có hồ sơ chứng minh năng lực.
            - Hồ sơ năng lực đối với trường hợp là tổ chức hành nghề trong lĩnh vực tài nguyên nước:
            + Bản sao có chứng thực hoặc bản sao có kèm bản chính để đối chiếu các loại giấy tờ: Quyết định thành lập tổ chức của cơ quan có thẩm quyền, trong đó có chức năng, nhiệm vụ liên quan đến hoạt động điều tra cơ bản, lập quy hoạch tài nguyên nước và các hoạt động khác về tài nguyên nước;Giấy chứng nhận đăng ký kinh doanh hoặc giấy chứng nhận đăng ký kinh doanh và đăng ký thuế hoặc giấy chứng nhận đăng ký doanh nghiệp do cơ quan có thẩm quyền cấp và các giấy tờ, tài liệu, hợp đồng để chứng minh việc đáp ứng yêu cầu đối với các hạng mục công việc có quy định điều kiện khi thực hiện (nếu có) đối với trường hợp hạng mục công việc của đề án, dự án, báo cáo có yêu cầu điều kiện khi thực hiện thì tổ chức phải đáp ứng các điều kiện đó hoặc có hợp đồng liên doanh, liên kết hoặc hợp đồng thuê với tổ chức, cá nhân đáp ứng điều kiện để thực hiện.
            + Danh sách đội ngũ cán bộ chuyên môn, người được giao phụ trách kỹ thuật; bản sao có chứng thực hoặc bản sao có kèm bản chính để đối chiếu giấy chứng minh nhân dân, căn cước công dân hoặc hộ chiếu, văn bằng đào tạo, giấy phép hành nghề (nếu có), hợp đồng lao động hoặc quyết định tuyển dụng; các tài liệu, giấy tờ để chứng minh kinh nghiệm công tác của từng cá nhân đáp ứng yêu cầu điều kiện nêu trên.
            - Hồ sơ năng lực đối với trường hợp là cá nhân tư vấn độc lập thực hiện việc lập đề án, báo cáo trong hồ sơ đề nghị cấp giấy phép tài nguyên nước:
            + Bản sao có chứng thực hoặc bản sao có kèm bản chính để đối chiếu giấy chứng minh nhân dân, căn cước công dân hoặc hộ chiếu, văn bằng đào tạo;
            + Các tài liệu, giấy tờ để chứng minh kinh nghiệm công tác của cá nhân đáp ứng yêu cầu về kinh nghiệm công tác muc (2) nêu trên;
            - Tổ chức, cá nhân hành nghề phải nộp hồ sơ năng lực cho cơ quan có thẩm quyền giao nhiệm vụ, đặt hàng, đấu thầu hoặc tổ chức cá nhân thuê lập đề án, báo cáo để làm căn cứ lựa chọn tổ chức, cá nhân đủ điều kiện về năng lực thực hiện đề án, dự án, báo cáo.
Riêng với trường hợp gia hạn, tổ chức, cá nhân còn phải đáp ứng các điều kiện sau:
- Giấy phép vẫn còn hiệu lực và hồ sơ đề nghị gia hạn giấy phép được nộp trước thời điểm giấy phép hết hiệu lực ít nhất chín mươi (90) ngày;
- Đến thời điểm đề nghị gia hạn, tổ chức, cá nhân được cấp giấy phép đã hoàn thành đầy đủ nghĩa vụ liên quan đến giấy phép đã được cáp theo quy định của pháp luật và không có tranh chấp.
- Tại thời điểm đề nghị gia hạn giấy phép, kế hoạch khai thác, sử dụng tài nguyên nước của tổ chức, cá nhân phù hợp với quy hoạch tài nguyên nước, khả năng đáp ứng của nguồn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2026-05-19T15:09:31Z</dcterms:created>
  <dc:creator>Apache POI</dc:creator>
</cp:coreProperties>
</file>