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1.004317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2533/QĐ-BXD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người khai thác tàu bay (AOC)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không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Các cá nhân và tổ chức khai thác tàu bay vận tải hàng không thương mại (sau đây gọi tắt là Người khai thác tàu bay) nộp 01 bộ hồ sơ trực tiếp hoặc qua đường bưu chính đến Cục Hàng không Việt Nam.</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Trong thời hạn 15 ngày, kể từ khi nhận được hồ sơ của Người khai thác, Cục Hàng không Việt Nam sẽ thẩm định tính hợp lệ và đầy đủ của hồ sơ đề nghị cấp AOC và thông báo kết quả thẩm định cho người đề nghị. Trong trường hợp hồ sơ đề nghị cấp AOC không hợp lệ hoặc chưa đầy đủ, người làm đơn phải bổ sung và thời gian phê chuẩn AOC sẽ chỉ được tính kể từ khi hồ sơ đã được bổ sung theo yêu cầu</w:t>
      </w:r>
    </w:p>
    <w:p>
      <w:pPr>
        <w:spacing w:after="0" w:before="0" w:lineRule="auto" w:line="276"/>
        <w:jc w:val="both"/>
      </w:pPr>
      <w:r>
        <w:rPr>
          <w:rFonts w:ascii="Times New Roman" w:hAnsi="Times New Roman" w:cs="Times New Roman" w:eastAsia="Times New Roman"/>
          <w:b w:val="false"/>
          <w:sz w:val="26"/>
        </w:rPr>
        <w:t>Trong thời hạn 10 ngày, kể từ ngày thông báo về tính hợp lệ và đầy đủ của hồ sơ đề nghị cấp AOC, Cục Hàng không Việt Nam thực hiện việc kiểm tra nội dung các tài liệu và phối hợp với Người khai thác tàu bay để xây dựng kế hoạch kiểm tra thực tế.</w:t>
      </w:r>
    </w:p>
    <w:p>
      <w:pPr>
        <w:spacing w:after="0" w:before="0" w:lineRule="auto" w:line="276"/>
        <w:jc w:val="both"/>
      </w:pPr>
      <w:r>
        <w:rPr>
          <w:rFonts w:ascii="Times New Roman" w:hAnsi="Times New Roman" w:cs="Times New Roman" w:eastAsia="Times New Roman"/>
          <w:b w:val="false"/>
          <w:sz w:val="26"/>
        </w:rPr>
        <w:t>Trong thời hạn 25 ngày, kể từ thời điểm thống nhất kế hoạch kiểm tra thực tế, Cục Hàng không Việt Nam tiến hành kiểm tra, nếu kết quả kiểm tra cho thấy người làm đơn hoàn toàn đáp ứng các yêu cầu đối với các quy định của Bộ quy chế An toàn hàng không dân dụng lĩnh vực tàu bay và khai thác tàu bay, Cục Hàng không Việt Nam cấp Giấy chứng nhận Người khai thác tàu bay. Trong trường hợp chưa đáp ứng các yêu cầu Cục Hàng không Việt Nam sẽ thông báo kết quả cho người đề nghị và thống nhất thời hạn cho việc khắc phục các yêu cầu chưa được đáp ứng. Thời gian cần thiết cho việc khắc phục các yêu cầu chưa được đáp ứng sẽ được tính bổ sung vào thời gian phê chuẩn AOC.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50 Ngày</w:t>
            </w:r>
          </w:p>
        </w:tc>
        <w:tc>
          <w:p/>
          <w:p>
            <w:pPr>
              <w:spacing w:after="0" w:before="0" w:lineRule="auto" w:line="276"/>
              <w:jc w:val="left"/>
            </w:pPr>
            <w:r>
              <w:rPr>
                <w:rFonts w:ascii="Times New Roman" w:hAnsi="Times New Roman" w:cs="Times New Roman" w:eastAsia="Times New Roman"/>
                <w:b w:val="false"/>
                <w:sz w:val="26"/>
              </w:rPr>
              <w:t>Phí : 40.000.000 Đồng</w:t>
              <w:t xml:space="preserve"> (Phí cấp Giấy chứng nhận Người khai thác tàu bay (AOC): 40.000.000 đồng/lần.)</w:t>
            </w:r>
          </w:p>
        </w:tc>
        <w:tc>
          <w:p/>
          <w:p>
            <w:pPr>
              <w:spacing w:after="0" w:before="0" w:lineRule="auto" w:line="276"/>
              <w:jc w:val="left"/>
            </w:pPr>
            <w:r>
              <w:rPr>
                <w:rFonts w:ascii="Times New Roman" w:hAnsi="Times New Roman" w:cs="Times New Roman" w:eastAsia="Times New Roman"/>
                <w:b w:val="false"/>
                <w:sz w:val="26"/>
              </w:rPr>
              <w:t>50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50 Ngày</w:t>
            </w:r>
          </w:p>
        </w:tc>
        <w:tc>
          <w:p/>
          <w:p>
            <w:pPr>
              <w:spacing w:after="0" w:before="0" w:lineRule="auto" w:line="276"/>
              <w:jc w:val="left"/>
            </w:pPr>
            <w:r>
              <w:rPr>
                <w:rFonts w:ascii="Times New Roman" w:hAnsi="Times New Roman" w:cs="Times New Roman" w:eastAsia="Times New Roman"/>
                <w:b w:val="false"/>
                <w:sz w:val="26"/>
              </w:rPr>
              <w:t>Phí : 40.000.000 Đồng</w:t>
              <w:t xml:space="preserve"> (Phí cấp Giấy chứng nhận Người khai thác tàu bay (AOC): 40.000.000 đồng/lần.)</w:t>
            </w:r>
          </w:p>
        </w:tc>
        <w:tc>
          <w:p/>
          <w:p>
            <w:pPr>
              <w:spacing w:after="0" w:before="0" w:lineRule="auto" w:line="276"/>
              <w:jc w:val="left"/>
            </w:pPr>
            <w:r>
              <w:rPr>
                <w:rFonts w:ascii="Times New Roman" w:hAnsi="Times New Roman" w:cs="Times New Roman" w:eastAsia="Times New Roman"/>
                <w:b w:val="false"/>
                <w:sz w:val="26"/>
              </w:rPr>
              <w:t>50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Tài liệu hướng dẫn khai thác. Đối với hệ thống bảo dưỡng tàu bay, người đề nghị phải cung cấp các tài liệu cùng với hồ sơ đề nghị cấp Giấy chứng nhận Người khai thác lần đầu tiên, và trong trường hợp cần thiết, hồ sơ đề nghị sửa đổi hoặc gia hạn Giấy chứng nhận Người khai thác đối với từng loại máy bay mới được đưa vào khai thác: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Giải trình quản lý tổ chức bảo dưỡng;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Chương trình bảo dưỡng máy bay của Người khai thác;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Nhật ký kỹ thuật máy bay;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Kiểu loại và số lượng tàu bay đăng ký quốc tịch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Người khai thác có thể khai thác máy bay được đăng ký tại quốc gia khác khi có sự thoả thuận chuyển giao trách nhiệm (chức năng) giám sát an toàn giữa Cục Hàng không Việt Nam với nhà chức trách của quốc gia đăng ký theo quy định của điều 83bis Công ước Chi-ca-go;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Hợp đồng bảo dưỡng giữa Người khai thác với các tổ chức bảo dưỡng được phê chuẩn phù hợp với Phần 5 Bộ quy chế An toàn hàng không dân dụng lĩnh vực tàu bay và khai thác tàu bay.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Tài liệu miêu tả tổ chức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Họ tên của các cán bộ quản lý chính, bao gồm những người chịu trách nhiệm về khai thác bay, về hệ thống bảo dưỡng, về huấn luyện tổ bay và các hoạt động khai thác trên mặt đất cùng với kinh nghiệm và khả năng chuyên môn của họ;</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Giấy chứng nhận Người khai thác tàu bay bao gồm các thông tin sau: tên doanh nghiệp, tên giao dịch, địa điểm trụ sở chính; người đại diện theo pháp luật (giám đốc điều hành); loại hình doanh nghiệp; khu vực khai thác và cơ sở khai thác; loại hình khai thác; loại, kiểu tàu bay khai thác;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Hàng không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Hàng không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Hàng không Việt Nam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Người khai thác tàu bay (AOC).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66/2006/QH11</w:t>
            </w:r>
          </w:p>
        </w:tc>
        <w:tc>
          <w:p/>
          <w:p>
            <w:pPr>
              <w:spacing w:after="0" w:before="0" w:lineRule="auto" w:line="276"/>
              <w:jc w:val="left"/>
            </w:pPr>
            <w:r>
              <w:rPr>
                <w:rFonts w:ascii="Times New Roman" w:hAnsi="Times New Roman" w:cs="Times New Roman" w:eastAsia="Times New Roman"/>
                <w:b w:val="false"/>
                <w:sz w:val="26"/>
              </w:rPr>
              <w:t>Hàng không dân dụng Việt Nam</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61/2014/QH13</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Hàng không dân dụng Việt Nam</w:t>
            </w:r>
          </w:p>
        </w:tc>
        <w:tc>
          <w:p/>
          <w:p>
            <w:pPr>
              <w:spacing w:after="0" w:before="0" w:lineRule="auto" w:line="276"/>
              <w:jc w:val="left"/>
            </w:pPr>
            <w:r>
              <w:rPr>
                <w:rFonts w:ascii="Times New Roman" w:hAnsi="Times New Roman" w:cs="Times New Roman" w:eastAsia="Times New Roman"/>
                <w:b w:val="false"/>
                <w:sz w:val="26"/>
              </w:rPr>
              <w:t>21-11-2014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193/2016/TT-BTC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hàng không</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01/2011/TT-BGTVT</w:t>
            </w:r>
          </w:p>
        </w:tc>
        <w:tc>
          <w:p/>
          <w:p>
            <w:pPr>
              <w:spacing w:after="0" w:before="0" w:lineRule="auto" w:line="276"/>
              <w:jc w:val="left"/>
            </w:pPr>
            <w:r>
              <w:rPr>
                <w:rFonts w:ascii="Times New Roman" w:hAnsi="Times New Roman" w:cs="Times New Roman" w:eastAsia="Times New Roman"/>
                <w:b w:val="false"/>
                <w:sz w:val="26"/>
              </w:rPr>
              <w:t>Ban hành Bộ quy chế An toàn hàng không dân dụng lĩnh vực tàu bay và khai thác tàu bay</w:t>
            </w:r>
          </w:p>
        </w:tc>
        <w:tc>
          <w:p/>
          <w:p>
            <w:pPr>
              <w:spacing w:after="0" w:before="0" w:lineRule="auto" w:line="276"/>
              <w:jc w:val="left"/>
            </w:pPr>
            <w:r>
              <w:rPr>
                <w:rFonts w:ascii="Times New Roman" w:hAnsi="Times New Roman" w:cs="Times New Roman" w:eastAsia="Times New Roman"/>
                <w:b w:val="false"/>
                <w:sz w:val="26"/>
              </w:rPr>
              <w:t>27-01-2011</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03/2016/TT-BGTVT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01/2011/TT-BGTVT ngày 27 tháng 01 năm 2011 của Bộ trưởng Bộ Giao thông vận tải ban hành Bộ Quy chế An toàn hàng không dân dụng lĩnh vực tàu bay và khai thác tàu bay</w:t>
            </w:r>
          </w:p>
        </w:tc>
        <w:tc>
          <w:p/>
          <w:p>
            <w:pPr>
              <w:spacing w:after="0" w:before="0" w:lineRule="auto" w:line="276"/>
              <w:jc w:val="left"/>
            </w:pPr>
            <w:r>
              <w:rPr>
                <w:rFonts w:ascii="Times New Roman" w:hAnsi="Times New Roman" w:cs="Times New Roman" w:eastAsia="Times New Roman"/>
                <w:b w:val="false"/>
                <w:sz w:val="26"/>
              </w:rPr>
              <w:t>31-03-2016</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56/2018/TT-BGTVT</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Bộ quy chế An toàn hàng không dân dụng lĩnh vực tàu bay và khai thác tàu bay</w:t>
            </w:r>
          </w:p>
        </w:tc>
        <w:tc>
          <w:p/>
          <w:p>
            <w:pPr>
              <w:spacing w:after="0" w:before="0" w:lineRule="auto" w:line="276"/>
              <w:jc w:val="left"/>
            </w:pPr>
            <w:r>
              <w:rPr>
                <w:rFonts w:ascii="Times New Roman" w:hAnsi="Times New Roman" w:cs="Times New Roman" w:eastAsia="Times New Roman"/>
                <w:b w:val="false"/>
                <w:sz w:val="26"/>
              </w:rPr>
              <w:t>11-12-2018</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21/2017/TT-BGTVT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01/2011/TT-BGTVT ngày 27 tháng 01 năm 2011 của Bộ trưởng Bộ Giao thông vận tải ban hành Bộ Quy chế An toàn hàng không dân dụng lĩnh vực tàu bay và khai thác tàu bay và Thông tư số 03/2016/TT-BGTVT ngày 31 tháng 3 năm 2016 của Bộ trưởng Bộ Giao thông vận tải sửa đổi, bổ sung một số điều của Thông tư số 21/2011/TT-BGTVT ngày 27 tháng 01 năm 2011 của Bộ trưởng Bộ Giao thông vận tải ban hành Bộ Quy chế An toàn hàng không dân dụng lĩnh vực tàu bay và khai thác tàu bay</w:t>
            </w:r>
          </w:p>
        </w:tc>
        <w:tc>
          <w:p/>
          <w:p>
            <w:pPr>
              <w:spacing w:after="0" w:before="0" w:lineRule="auto" w:line="276"/>
              <w:jc w:val="left"/>
            </w:pPr>
            <w:r>
              <w:rPr>
                <w:rFonts w:ascii="Times New Roman" w:hAnsi="Times New Roman" w:cs="Times New Roman" w:eastAsia="Times New Roman"/>
                <w:b w:val="false"/>
                <w:sz w:val="26"/>
              </w:rPr>
              <w:t>30-06-2017</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Thông tư 09/2023/TT-BGTVT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Bộ Quy chế An toàn hàng không dân dụng lĩnh vực tàu bay và khai thác tàu bay ban hành kèm theo Thông tư số 01/2011/TT-BGTVT ngày 27/01/2011 của Bộ trưởng Bộ GTVT và các Thông tư sửa đổi, bổ sung Thông tư số 01/2011/TT-BGTVT ngày 27/01/2011 của Bộ trưởng Bộ GTVT</w:t>
            </w:r>
          </w:p>
        </w:tc>
        <w:tc>
          <w:p/>
          <w:p>
            <w:pPr>
              <w:spacing w:after="0" w:before="0" w:lineRule="auto" w:line="276"/>
              <w:jc w:val="left"/>
            </w:pPr>
            <w:r>
              <w:rPr>
                <w:rFonts w:ascii="Times New Roman" w:hAnsi="Times New Roman" w:cs="Times New Roman" w:eastAsia="Times New Roman"/>
                <w:b w:val="false"/>
                <w:sz w:val="26"/>
              </w:rPr>
              <w:t>09-06-2023</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71/2025/TT-BXD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để cắt giảm, đơn giản hóa thủ tục hành chính trong lĩnh vực đăng kiểm đường bộ, hàng không dân dụng và thanh tra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khai tác tàu bay phải nộp hồ sơ tối thiểu 90 ngày trước ngày dự định khai thác, tài liệu hướng dẫn khai thác và tài liệu kiểm soát bảo dưỡng có thể nộp sau nhưng không muộn hơn 60 ngày trước ngày dự định khai thác.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2026-05-20T05:32:04Z</dcterms:created>
  <dc:creator>Apache POI</dc:creator>
</cp:coreProperties>
</file>