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3339/QĐ-BNNMT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khai thác tận thu khoáng sản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cấp Giấy phép khai thác tận thu khoáng sản nộp hồ sơ trực tiếp hoặc qua đường bưu điện đến Văn phòng Tiếp nhận và Trả kết quả giải quyết thủ tục hành chính của Ủy ban nhân dân cấp tỉnh (hoặc Bộ phận Tiếp nhận và Trả kết quả của Sở Nông nghiệp và Môi trường) hoặc nộp trực tuyến tại cổng thông tin điện tử do Ủy ban nhân dân tỉnh cung cấp.</w:t>
      </w:r>
    </w:p>
    <w:p>
      <w:pPr>
        <w:spacing w:after="0" w:before="0" w:lineRule="auto" w:line="276"/>
        <w:jc w:val="both"/>
      </w:pPr>
      <w:r>
        <w:rPr>
          <w:rFonts w:ascii="Times New Roman" w:hAnsi="Times New Roman" w:cs="Times New Roman" w:eastAsia="Times New Roman"/>
          <w:b w:val="false"/>
          <w:sz w:val="26"/>
        </w:rPr>
        <w:t>- Bước 2. Kiểm tra hồ sơ
 Cơ quan tiếp nhận hồ sơ kiểm tra văn bản, tài liệu có trong hồ sơ. Trườnghợp:
+ Văn bản, tài liệu có trong hồ sơ bảo đảm đúng quy định thì Sở Nông nghiệp và Môi trường ban hành phiếu tiếp nhận hồ sơ.
+ Hồ sơ đề nghị khai thác tận thu khoáng sản chưa đủ văn bản, tài liệu theo quy định hoặc đủ nhưng nội dung văn bản, tài liệu trong hồ sơ chưa bảo đảm đúng theo quy định của pháp luật thì Sở Nông nghiệp và Môi trường hướng dẫn bằng văn bản cho tổ chức, cá nhân bổ sung, hoàn chỉnh hồ sơ. Việc ban hành văn bản hướng dẫn, yêu cầu bổ sung, hoàn chỉnh hồ sơ của Sở Nông nghiệp và Môi trường chỉ thực hiện một lần.</w:t>
      </w:r>
    </w:p>
    <w:p>
      <w:pPr>
        <w:spacing w:after="0" w:before="0" w:lineRule="auto" w:line="276"/>
        <w:jc w:val="both"/>
      </w:pPr>
      <w:r>
        <w:rPr>
          <w:rFonts w:ascii="Times New Roman" w:hAnsi="Times New Roman" w:cs="Times New Roman" w:eastAsia="Times New Roman"/>
          <w:b w:val="false"/>
          <w:sz w:val="26"/>
        </w:rPr>
        <w:t>- Bước 3. Thẩm định hồ sơ
 Sở Nông nghiệp và Môi trường có trách nhiệm hoàn thành việc kiểm tra tọa độ, diện tích khu vực đề nghị khai thác tận thu khoáng sản và kiểm tra thực địa; các tài liệu, hồ sơ và các nội dung khác có liên quan đến khu vực đề nghị khai thác tận thu khoáng sản.</w:t>
      </w:r>
    </w:p>
    <w:p>
      <w:pPr>
        <w:spacing w:after="0" w:before="0" w:lineRule="auto" w:line="276"/>
        <w:jc w:val="both"/>
      </w:pPr>
      <w:r>
        <w:rPr>
          <w:rFonts w:ascii="Times New Roman" w:hAnsi="Times New Roman" w:cs="Times New Roman" w:eastAsia="Times New Roman"/>
          <w:b w:val="false"/>
          <w:sz w:val="26"/>
        </w:rPr>
        <w:t>- Bước 4. Trình hồ sơ cấp phép
Căn cứ kết quả thẩm định hồ sơ, Sở Nông nghiệp và Môi trường hoàn chỉnh và trình hồ sơ đề nghị Ủy ban nhân dân tỉnh xem xét, quyết định việc cấp hoặc không cấp Giấy phép khai thác tận thu khoáng sản.</w:t>
      </w:r>
    </w:p>
    <w:p>
      <w:pPr>
        <w:spacing w:after="0" w:before="0" w:lineRule="auto" w:line="276"/>
        <w:jc w:val="both"/>
      </w:pPr>
      <w:r>
        <w:rPr>
          <w:rFonts w:ascii="Times New Roman" w:hAnsi="Times New Roman" w:cs="Times New Roman" w:eastAsia="Times New Roman"/>
          <w:b w:val="false"/>
          <w:sz w:val="26"/>
        </w:rPr>
        <w:t>- Bước 5. Trả kết quả giải quyết thủ tục hành chính
Sở Nông nghiệp và Môi trường trả kết quả giải quyết hồ sơ cho tổ chức, cá nhân đề nghị cấp Giấy phép khai thác tận thu khoáng sản.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Lệ phí : 5.000.000 đồng/01giấy phép Đồng</w:t>
              <w:t xml:space="preserve"> (Mức thu lệ phí cấp giấy phép hoạt động khoáng sản áp dụng theo quy định tại Thông tư số 10/2024/TT-BTC ngày 05/02/2024 của Bộ trưởng Bộ Tài chính quy định mức thu, chế độ thu, nộp, quản lý và sử dụng phí thẩm định đánh giá trữ lượng khoáng sản và lệ phí cấp giấy phép hoạt động khoáng sản, cụ thể: Khai thác tận thu)</w:t>
            </w:r>
          </w:p>
        </w:tc>
        <w:tc>
          <w:p/>
          <w:p>
            <w:pPr>
              <w:spacing w:after="0" w:before="0" w:lineRule="auto" w:line="276"/>
              <w:jc w:val="left"/>
            </w:pPr>
            <w:r>
              <w:rPr>
                <w:rFonts w:ascii="Times New Roman" w:hAnsi="Times New Roman" w:cs="Times New Roman" w:eastAsia="Times New Roman"/>
                <w:b w:val="false"/>
                <w:sz w:val="26"/>
              </w:rPr>
              <w:t>Thời hạn giải quyết: không quá 33 ngày làm việc
- Kiểm tra hồ sơ: không quá 03 ngày làm việc
- Thẩm định hồ sơ: 
+ Trong thời gian không quá 05 ngày làm việc, kể từ ngày có văn bản tiếp nhận hồ sơ, Sở Nông nghiệp và Môi trường có trách nhiệm hoàn thành việc kiểm tra tọa độ, diện tích khu vực đề nghị khai thác tận thu khoáng sản và kiểm tra thực địa.
+ Trong thời gian không quá 15 ngày làm việc, Sở Nông nghiệp và Môi trường phải hoàn thành việc thẩm định các tài liệu, hồ sơ và các nội dung khác có liên quan đến khu vực đề nghị khai thác tận thu khoáng sản.
- Trình hồ sơ, quyết định cấp giấy phép:
+ Trong thời hạn không quá 02 ngày làm việc, Sở Nông nghiệp và Môi trường có trách nhiệm hoàn chỉnh và trình hồ sơ cho Ủy ban nhân dân tỉnh.
+ Trong thời hạn không quá 05 ngày làm việc, kể từ ngày nhận được hồ sơ của Sở Nông nghiệp và Môi trường, Ủy ban nhân dân cấp tỉnh quyết định việc cấp hoặc không cấp Giấy phép khai thác tận thu khoáng sản. Trong trường hợp không cấp giấy phép thì phải trả lời bằng văn bản và nêu rõ lý do.
- Thời hạn thông báo và trả kết quả hồ sơ: 
Trong thời gian không quá 03 ngày làm việc, kể từ ngày nhận được hồ sơ của Ủy ban nhân dân cấp tỉnh, Sở Nông nghiệp và Môi trường thông báo cho tổ chức, cá nhân đề nghị gia hạn Giấy phép khai thác khoáng sản để nhận kết quả và thực hiện các nghĩa vụ có liên quan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Lệ phí : 5.000.000 đồng/01giấy phép Đồng</w:t>
              <w:t xml:space="preserve"> (Mức thu lệ phí cấp giấy phép hoạt động khoáng sản áp dụng theo quy định tại Thông tư số 10/2024/TT-BTC ngày 05/02/2024 của Bộ trưởng Bộ Tài chính quy định mức thu, chế độ thu, nộp, quản lý và sử dụng phí thẩm định đánh giá trữ lượng khoáng sản và lệ phí cấp giấy phép hoạt động khoáng sản, cụ thể: Khai thác tận thu)</w:t>
            </w:r>
          </w:p>
        </w:tc>
        <w:tc>
          <w:p/>
          <w:p>
            <w:pPr>
              <w:spacing w:after="0" w:before="0" w:lineRule="auto" w:line="276"/>
              <w:jc w:val="left"/>
            </w:pPr>
            <w:r>
              <w:rPr>
                <w:rFonts w:ascii="Times New Roman" w:hAnsi="Times New Roman" w:cs="Times New Roman" w:eastAsia="Times New Roman"/>
                <w:b w:val="false"/>
                <w:sz w:val="26"/>
              </w:rPr>
              <w:t>Thời hạn giải quyết: không quá 33 ngày làm việc
- Kiểm tra hồ sơ: không quá 03 ngày làm việc
- Thẩm định hồ sơ: 
+ Trong thời gian không quá 05 ngày làm việc, kể từ ngày có văn bản tiếp nhận hồ sơ, Sở Nông nghiệp và Môi trường có trách nhiệm hoàn thành việc kiểm tra tọa độ, diện tích khu vực đề nghị khai thác tận thu khoáng sản và kiểm tra thực địa.
+ Trong thời gian không quá 15 ngày làm việc, Sở Nông nghiệp và Môi trường phải hoàn thành việc thẩm định các tài liệu, hồ sơ và các nội dung khác có liên quan đến khu vực đề nghị khai thác tận thu khoáng sản.
- Trình hồ sơ, quyết định cấp giấy phép:
+ Trong thời hạn không quá 02 ngày làm việc, Sở Nông nghiệp và Môi trường có trách nhiệm hoàn chỉnh và trình hồ sơ cho Ủy ban nhân dân tỉnh.
+ Trong thời hạn không quá 05 ngày làm việc, kể từ ngày nhận được hồ sơ của Sở Nông nghiệp và Môi trường, Ủy ban nhân dân cấp tỉnh quyết định việc cấp hoặc không cấp Giấy phép khai thác tận thu khoáng sản. Trong trường hợp không cấp giấy phép thì phải trả lời bằng văn bản và nêu rõ lý do.
- Thời hạn thông báo và trả kết quả hồ sơ: 
Trong thời gian không quá 03 ngày làm việc, kể từ ngày nhận được hồ sơ của Ủy ban nhân dân cấp tỉnh, Sở Nông nghiệp và Môi trường thông báo cho tổ chức, cá nhân đề nghị gia hạn Giấy phép khai thác khoáng sản để nhận kết quả và thực hiện các nghĩa vụ có liên quan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Lệ phí : 5.000.000 đồng/01giấy phép Đồng</w:t>
              <w:t xml:space="preserve"> (Mức thu lệ phí cấp giấy phép hoạt động khoáng sản áp dụng theo quy định tại Thông tư số 10/2024/TT-BTC ngày 05/02/2024 của Bộ trưởng Bộ Tài chính quy định mức thu, chế độ thu, nộp, quản lý và sử dụng phí thẩm định đánh giá trữ lượng khoáng sản và lệ phí cấp giấy phép hoạt động khoáng sản, cụ thể: Khai thác tận thu)</w:t>
            </w:r>
          </w:p>
        </w:tc>
        <w:tc>
          <w:p/>
          <w:p>
            <w:pPr>
              <w:spacing w:after="0" w:before="0" w:lineRule="auto" w:line="276"/>
              <w:jc w:val="left"/>
            </w:pPr>
            <w:r>
              <w:rPr>
                <w:rFonts w:ascii="Times New Roman" w:hAnsi="Times New Roman" w:cs="Times New Roman" w:eastAsia="Times New Roman"/>
                <w:b w:val="false"/>
                <w:sz w:val="26"/>
              </w:rPr>
              <w:t>Thời hạn giải quyết: không quá 33 ngày làm việc
- Kiểm tra hồ sơ: không quá 03 ngày làm việc
- Thẩm định hồ sơ: 
+ Trong thời gian không quá 05 ngày làm việc, kể từ ngày có văn bản tiếp nhận hồ sơ, Sở Nông nghiệp và Môi trường có trách nhiệm hoàn thành việc kiểm tra tọa độ, diện tích khu vực đề nghị khai thác tận thu khoáng sản và kiểm tra thực địa.
+ Trong thời gian không quá 15 ngày làm việc, Sở Nông nghiệp và Môi trường phải hoàn thành việc thẩm định các tài liệu, hồ sơ và các nội dung khác có liên quan đến khu vực đề nghị khai thác tận thu khoáng sản.
- Trình hồ sơ, quyết định cấp giấy phép:
+ Trong thời hạn không quá 02 ngày làm việc, Sở Nông nghiệp và Môi trường có trách nhiệm hoàn chỉnh và trình hồ sơ cho Ủy ban nhân dân tỉnh.
+ Trong thời hạn không quá 05 ngày làm việc, kể từ ngày nhận được hồ sơ của Sở Nông nghiệp và Môi trường, Ủy ban nhân dân cấp tỉnh quyết định việc cấp hoặc không cấp Giấy phép khai thác tận thu khoáng sản. Trong trường hợp không cấp giấy phép thì phải trả lời bằng văn bản và nêu rõ lý do.
- Thời hạn thông báo và trả kết quả hồ sơ: 
Trong thời gian không quá 03 ngày làm việc, kể từ ngày nhận được hồ sơ của Ủy ban nhân dân cấp tỉnh, Sở Nông nghiệp và Môi trường thông báo cho tổ chức, cá nhân đề nghị gia hạn Giấy phép khai thác khoáng sản để nhận kết quả và thực hiện các nghĩa vụ có liên quan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khai thác tận thu khoáng sản</w:t>
            </w:r>
          </w:p>
        </w:tc>
        <w:tc>
          <w:p/>
          <w:p>
            <w:pPr>
              <w:spacing w:after="0" w:before="0" w:lineRule="auto" w:line="276"/>
              <w:jc w:val="left"/>
            </w:pPr>
            <w:r>
              <w:rPr>
                <w:rFonts w:ascii="Times New Roman" w:hAnsi="Times New Roman" w:cs="Times New Roman" w:eastAsia="Times New Roman"/>
                <w:b w:val="false"/>
                <w:sz w:val="26"/>
              </w:rPr>
              <w:t>Mauso13_Dondenghicapgiayphepkhaithactanthukhoangsan.doc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khu vực khai thác tận thu khoáng sản</w:t>
            </w:r>
          </w:p>
        </w:tc>
        <w:tc>
          <w:p/>
          <w:p>
            <w:pPr>
              <w:spacing w:after="0" w:before="0" w:lineRule="auto" w:line="276"/>
              <w:jc w:val="left"/>
            </w:pPr>
            <w:r>
              <w:rPr>
                <w:rFonts w:ascii="Times New Roman" w:hAnsi="Times New Roman" w:cs="Times New Roman" w:eastAsia="Times New Roman"/>
                <w:b w:val="false"/>
                <w:sz w:val="26"/>
              </w:rPr>
              <w:t>Mauso29-Phuluc2_Bandokhuvuckhaithactanthukhoangsan.doc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án đầu tư khai thác khoáng sản kèm theo quyết định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của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khai thác tận thu khoáng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60/2010/QH12</w:t>
            </w:r>
          </w:p>
        </w:tc>
        <w:tc>
          <w:p/>
          <w:p>
            <w:pPr>
              <w:spacing w:after="0" w:before="0" w:lineRule="auto" w:line="276"/>
              <w:jc w:val="left"/>
            </w:pPr>
            <w:r>
              <w:rPr>
                <w:rFonts w:ascii="Times New Roman" w:hAnsi="Times New Roman" w:cs="Times New Roman" w:eastAsia="Times New Roman"/>
                <w:b w:val="false"/>
                <w:sz w:val="26"/>
              </w:rPr>
              <w:t>Luật 60/2010/QH12</w:t>
            </w:r>
          </w:p>
        </w:tc>
        <w:tc>
          <w:p/>
          <w:p>
            <w:pPr>
              <w:spacing w:after="0" w:before="0" w:lineRule="auto" w:line="276"/>
              <w:jc w:val="left"/>
            </w:pPr>
            <w:r>
              <w:rPr>
                <w:rFonts w:ascii="Times New Roman" w:hAnsi="Times New Roman" w:cs="Times New Roman" w:eastAsia="Times New Roman"/>
                <w:b w:val="false"/>
                <w:sz w:val="26"/>
              </w:rPr>
              <w:t>17-11-2010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158/2016/NĐ-CP</w:t>
            </w:r>
          </w:p>
        </w:tc>
        <w:tc>
          <w:p/>
          <w:p>
            <w:pPr>
              <w:spacing w:after="0" w:before="0" w:lineRule="auto" w:line="276"/>
              <w:jc w:val="left"/>
            </w:pPr>
            <w:r>
              <w:rPr>
                <w:rFonts w:ascii="Times New Roman" w:hAnsi="Times New Roman" w:cs="Times New Roman" w:eastAsia="Times New Roman"/>
                <w:b w:val="false"/>
                <w:sz w:val="26"/>
              </w:rPr>
              <w:t>Nghị định 158/2016/NĐ-CP</w:t>
            </w:r>
          </w:p>
        </w:tc>
        <w:tc>
          <w:p/>
          <w:p>
            <w:pPr>
              <w:spacing w:after="0" w:before="0" w:lineRule="auto" w:line="276"/>
              <w:jc w:val="left"/>
            </w:pPr>
            <w:r>
              <w:rPr>
                <w:rFonts w:ascii="Times New Roman" w:hAnsi="Times New Roman" w:cs="Times New Roman" w:eastAsia="Times New Roman"/>
                <w:b w:val="false"/>
                <w:sz w:val="26"/>
              </w:rPr>
              <w:t>29-11-2016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45/2016/TT-BTNMT</w:t>
            </w:r>
          </w:p>
        </w:tc>
        <w:tc>
          <w:p/>
          <w:p>
            <w:pPr>
              <w:spacing w:after="0" w:before="0" w:lineRule="auto" w:line="276"/>
              <w:jc w:val="left"/>
            </w:pPr>
            <w:r>
              <w:rPr>
                <w:rFonts w:ascii="Times New Roman" w:hAnsi="Times New Roman" w:cs="Times New Roman" w:eastAsia="Times New Roman"/>
                <w:b w:val="false"/>
                <w:sz w:val="26"/>
              </w:rPr>
              <w:t>Thông tư 45/2016/TT-BTNMT</w:t>
            </w:r>
          </w:p>
        </w:tc>
        <w:tc>
          <w:p/>
          <w:p>
            <w:pPr>
              <w:spacing w:after="0" w:before="0" w:lineRule="auto" w:line="276"/>
              <w:jc w:val="left"/>
            </w:pPr>
            <w:r>
              <w:rPr>
                <w:rFonts w:ascii="Times New Roman" w:hAnsi="Times New Roman" w:cs="Times New Roman" w:eastAsia="Times New Roman"/>
                <w:b w:val="false"/>
                <w:sz w:val="26"/>
              </w:rPr>
              <w:t>26-12-2016</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Nghị định 22/2023/NĐ-CP</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10/2024/TT-BTC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định đánh giá trữ lượng khoáng sản và lệ phí cấp giấy phép hoạt động khoáng sản</w:t>
            </w:r>
          </w:p>
        </w:tc>
        <w:tc>
          <w:p/>
          <w:p>
            <w:pPr>
              <w:spacing w:after="0" w:before="0" w:lineRule="auto" w:line="276"/>
              <w:jc w:val="left"/>
            </w:pPr>
            <w:r>
              <w:rPr>
                <w:rFonts w:ascii="Times New Roman" w:hAnsi="Times New Roman" w:cs="Times New Roman" w:eastAsia="Times New Roman"/>
                <w:b w:val="false"/>
                <w:sz w:val="26"/>
              </w:rPr>
              <w:t>05-02-2024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2026-05-24T16:10:31Z</dcterms:created>
  <dc:creator>Apache POI</dc:creator>
</cp:coreProperties>
</file>