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buôn bán thuốc bảo vệ thực vật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 và Bảo vệ thực vật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nộp 01 bộ hồ sơ đề nghị cấp Giấy chứng nhận đủ điều kiện buôn bán thuốc bảo vệ thực vật đến cơ quan được Chủ tịch Ủy ban nhân dân cấp tỉnh giao tiếp nhận hồ sơ giải quyết thủ tục hành chính (nơi tổ chức, cá nhân đặt trụ sở) bằng hình thức trực tiếp hoặc môi trường mạng hoặc qua dịch vụ bưu chính. 
- Bước 2: Cơ quan được Chủ tịch Ủy ban nhân dân cấp tỉnh giao tiếp nhận hồ sơ giải quyết thủ tục hành chính trả lời ngay tính đầy đủ của hồ sơ đối với trường hợp nộp trực tiếp; trả lời bằng văn bản tính đầy đủ của hồ sơ trong 01 ngày làm việc đối với trường hợp nộp hồ sơ qua môi trường mạng hoặc qua dịch vụ bưu chính.
- Bước 4: Trong thời hạn 10 ngày làm việc kể từ ngày nhận đủ hồ sơ hợp lệ cơ quan được Chủ tịch Ủy ban nhân dân cấp tỉnh giao giải quyết thủ tục hành chính tổ chức thẩm định, tổ chức kiểm tra thực tế (có thành lập đoàn đánh giá và biên bản đánh giá điều kiện buôn bán thuốc bảo vệ thực vật theo Mẫu số 06 Phụ lục III ban hành kèm theo Nghị định số 33/2026/NĐ-CP) và trình Chủ tịch Ủy ban nhân dân cấp tỉnh. 
- Bước 5: Trong thời hạn 05 ngày làm việc kể từ ngày nhận được hồ sơ trình của cơ quan được Chủ tịch Ủy ban nhân dân cấp tỉnh giao giải quyết thủ tục hành chính, Chủ tịch Ủy ban nhân dân cấp tỉnh xem xét, quyết định cấp Giấy chứng nhận đủ điều kiện buôn bán thuốc bảo vệ thực vật theo Mẫu số 08 Phụ lục III ban hành kèm theo Nghị định số 33/2026/NĐ-CP; trường hợp không cấp,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đồng/lần Đồng</w:t>
              <w:t xml:space="preserve"> (800.000 đồng/lần)</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đồng/lần Đồng</w:t>
              <w:t xml:space="preserve"> (800.000 đồng/lần)</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800.000 đồng/lần Đồng</w:t>
              <w:t xml:space="preserve"> (800.000 đồng/lần)</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buôn bán thuốc bảo vệ thực vật theo Mẫu số 03 Phụ lục III ban hành kèm theo Nghị định số 33/2026/NĐ-CP.</w:t>
            </w:r>
          </w:p>
        </w:tc>
        <w:tc>
          <w:p/>
          <w:p>
            <w:pPr>
              <w:spacing w:after="0" w:before="0" w:lineRule="auto" w:line="276"/>
              <w:jc w:val="left"/>
            </w:pPr>
            <w:r>
              <w:rPr>
                <w:rFonts w:ascii="Times New Roman" w:hAnsi="Times New Roman" w:cs="Times New Roman" w:eastAsia="Times New Roman"/>
                <w:b w:val="false"/>
                <w:sz w:val="26"/>
              </w:rPr>
              <w:t>Mus03-PhlcIII.docx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điều kiện buôn bán thuốc bảo vệ thực vật theo Mẫu số 04 Phụ lục III ban hành kèm theo Nghị định số 33/2026/NĐ-CP.</w:t>
            </w:r>
          </w:p>
        </w:tc>
        <w:tc>
          <w:p/>
          <w:p>
            <w:pPr>
              <w:spacing w:after="0" w:before="0" w:lineRule="auto" w:line="276"/>
              <w:jc w:val="left"/>
            </w:pPr>
            <w:r>
              <w:rPr>
                <w:rFonts w:ascii="Times New Roman" w:hAnsi="Times New Roman" w:cs="Times New Roman" w:eastAsia="Times New Roman"/>
                <w:b w:val="false"/>
                <w:sz w:val="26"/>
              </w:rPr>
              <w:t>Mus04-PhlcIII.docx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được Chủ tịch Ủy ban nhân dân cấp tỉnh giao tiếp nhận hồ sơ giải quyết thủ tục hành chính (nơi tổ chức, cá nhân đặt trụ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buôn bán thuốc bảo vệ thực vật theo Mẫu số 08 Phụ lục III ban hành kèm theo Nghị định số 33/2026/NĐ-CP.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41/2013/QH13</w:t>
            </w:r>
          </w:p>
        </w:tc>
        <w:tc>
          <w:p/>
          <w:p>
            <w:pPr>
              <w:spacing w:after="0" w:before="0" w:lineRule="auto" w:line="276"/>
              <w:jc w:val="left"/>
            </w:pPr>
            <w:r>
              <w:rPr>
                <w:rFonts w:ascii="Times New Roman" w:hAnsi="Times New Roman" w:cs="Times New Roman" w:eastAsia="Times New Roman"/>
                <w:b w:val="false"/>
                <w:sz w:val="26"/>
              </w:rPr>
              <w:t>Luật 41/2013/QH13</w:t>
            </w:r>
          </w:p>
        </w:tc>
        <w:tc>
          <w:p/>
          <w:p>
            <w:pPr>
              <w:spacing w:after="0" w:before="0" w:lineRule="auto" w:line="276"/>
              <w:jc w:val="left"/>
            </w:pPr>
            <w:r>
              <w:rPr>
                <w:rFonts w:ascii="Times New Roman" w:hAnsi="Times New Roman" w:cs="Times New Roman" w:eastAsia="Times New Roman"/>
                <w:b w:val="false"/>
                <w:sz w:val="26"/>
              </w:rPr>
              <w:t>29-08-2019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66/2016/NĐ-CP</w:t>
            </w:r>
          </w:p>
        </w:tc>
        <w:tc>
          <w:p/>
          <w:p>
            <w:pPr>
              <w:spacing w:after="0" w:before="0" w:lineRule="auto" w:line="276"/>
              <w:jc w:val="left"/>
            </w:pPr>
            <w:r>
              <w:rPr>
                <w:rFonts w:ascii="Times New Roman" w:hAnsi="Times New Roman" w:cs="Times New Roman" w:eastAsia="Times New Roman"/>
                <w:b w:val="false"/>
                <w:sz w:val="26"/>
              </w:rPr>
              <w:t>Nghị định 66/2016/NĐ-CP</w:t>
            </w:r>
          </w:p>
        </w:tc>
        <w:tc>
          <w:p/>
          <w:p>
            <w:pPr>
              <w:spacing w:after="0" w:before="0" w:lineRule="auto" w:line="276"/>
              <w:jc w:val="left"/>
            </w:pPr>
            <w:r>
              <w:rPr>
                <w:rFonts w:ascii="Times New Roman" w:hAnsi="Times New Roman" w:cs="Times New Roman" w:eastAsia="Times New Roman"/>
                <w:b w:val="false"/>
                <w:sz w:val="26"/>
              </w:rPr>
              <w:t>29-08-2019</w:t>
            </w:r>
          </w:p>
        </w:tc>
        <w:tc>
          <w:p/>
        </w:tc>
      </w:tr>
      <w:tr>
        <w:tc>
          <w:p/>
          <w:p>
            <w:pPr>
              <w:spacing w:after="0" w:before="0" w:lineRule="auto" w:line="276"/>
              <w:jc w:val="left"/>
            </w:pPr>
            <w:r>
              <w:rPr>
                <w:rFonts w:ascii="Times New Roman" w:hAnsi="Times New Roman" w:cs="Times New Roman" w:eastAsia="Times New Roman"/>
                <w:b w:val="false"/>
                <w:sz w:val="26"/>
              </w:rPr>
              <w:t>123/2018/NĐ-CP</w:t>
            </w:r>
          </w:p>
        </w:tc>
        <w:tc>
          <w:p/>
          <w:p>
            <w:pPr>
              <w:spacing w:after="0" w:before="0" w:lineRule="auto" w:line="276"/>
              <w:jc w:val="left"/>
            </w:pPr>
            <w:r>
              <w:rPr>
                <w:rFonts w:ascii="Times New Roman" w:hAnsi="Times New Roman" w:cs="Times New Roman" w:eastAsia="Times New Roman"/>
                <w:b w:val="false"/>
                <w:sz w:val="26"/>
              </w:rPr>
              <w:t>Nghị định 123/2018/NĐ-CP</w:t>
            </w:r>
          </w:p>
        </w:tc>
        <w:tc>
          <w:p/>
          <w:p>
            <w:pPr>
              <w:spacing w:after="0" w:before="0" w:lineRule="auto" w:line="276"/>
              <w:jc w:val="left"/>
            </w:pPr>
            <w:r>
              <w:rPr>
                <w:rFonts w:ascii="Times New Roman" w:hAnsi="Times New Roman" w:cs="Times New Roman" w:eastAsia="Times New Roman"/>
                <w:b w:val="false"/>
                <w:sz w:val="26"/>
              </w:rPr>
              <w:t>17-09-2018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33/2021/TT-BTC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trong hoạt động kiểm dịch và bảo vệ thực vật thuộc lĩnh vực nông nghiệp</w:t>
            </w:r>
          </w:p>
        </w:tc>
        <w:tc>
          <w:p/>
          <w:p>
            <w:pPr>
              <w:spacing w:after="0" w:before="0" w:lineRule="auto" w:line="276"/>
              <w:jc w:val="left"/>
            </w:pPr>
            <w:r>
              <w:rPr>
                <w:rFonts w:ascii="Times New Roman" w:hAnsi="Times New Roman" w:cs="Times New Roman" w:eastAsia="Times New Roman"/>
                <w:b w:val="false"/>
                <w:sz w:val="26"/>
              </w:rPr>
              <w:t>17-05-2021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số 33/2026/NĐ-CP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trồng trọt và bảo vệ thực vật</w:t>
            </w:r>
          </w:p>
        </w:tc>
        <w:tc>
          <w:p/>
          <w:p>
            <w:pPr>
              <w:spacing w:after="0" w:before="0" w:lineRule="auto" w:line="276"/>
              <w:jc w:val="left"/>
            </w:pPr>
            <w:r>
              <w:rPr>
                <w:rFonts w:ascii="Times New Roman" w:hAnsi="Times New Roman" w:cs="Times New Roman" w:eastAsia="Times New Roman"/>
                <w:b w:val="false"/>
                <w:sz w:val="26"/>
              </w:rPr>
              <w:t>21-01-2026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số 07/2026/TT-BNNMT</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Bảo vệ và kiểm dịch thực vật, Luật Trồng trọt và sửa đổi, bổ sung một số điều của các thông tư trong lĩnh vực trồng trọt và bảo vệ thực vật</w:t>
            </w:r>
          </w:p>
        </w:tc>
        <w:tc>
          <w:p/>
          <w:p>
            <w:pPr>
              <w:spacing w:after="0" w:before="0" w:lineRule="auto" w:line="276"/>
              <w:jc w:val="left"/>
            </w:pPr>
            <w:r>
              <w:rPr>
                <w:rFonts w:ascii="Times New Roman" w:hAnsi="Times New Roman" w:cs="Times New Roman" w:eastAsia="Times New Roman"/>
                <w:b w:val="false"/>
                <w:sz w:val="26"/>
              </w:rPr>
              <w:t>23-01-2026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buôn bán thuốc bảo vệ thực vật phải bảo đảm các điều kiện quy định tại Điều 63 Luật Bảo vệ và kiểm dịch thực vật và các điều kiện chi tiết sau:
a) Người trực tiếp bán thuốc bảo vệ thực vật phải có trình độ trung cấp trở lên về một trong các chuyên ngành bảo vệ thực vật, trồng trọt, hóa học, sinh học, nông học hoặc có Giấy chứng nhận bồi dưỡng chuyên môn về thuốc bảo vệ thực vật;
b) Địa điểm cửa hàng buôn bán thuốc bảo vệ thực vật tách biệt với khu vực dịch vụ ăn uống, trường học, bệnh viện;
c) Kho chứa thuốc bảo vệ thực vật
Đối với cơ sở bán buôn, kho chứa thuốc bảo vệ thực vật phải đảm bảo yêu cầu của quy chuẩn kỹ thuật quốc gia về an toàn trong sản xuất, kinh doanh, sử dụng, bảo quản và vận chuyển hóa chất nguy hiểm. 
Đối với cơ sở bán lẻ, khu vực chứa thuốc bảo vệ thực vật phải có kệ kê hàng cao tối thiểu 10 cm so với mặt sàn, cách tường tối thiểu 20 cm.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2026-05-07T05:23:02Z</dcterms:created>
  <dc:creator>Apache POI</dc:creator>
</cp:coreProperties>
</file>