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2.000189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1650/QĐ-BGDĐT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đăng ký hoạt động giáo dục nghề nghiệp đối với trường trung cấp, trung tâm giáo dục nghề nghiệp, trung tâm giáo dục nghề nghiệp - giáo dục thường xuyên và doanh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 (G07-LĐ06)</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Gửi hồ sơ đăng ký hoạt động giáo dục nghề nghiệp theo quy định tại khoản 2 Điều 61 Phụ lục I Nghị định 142/2025/NĐ-CP qua cổng dịch vụ công trực tuyến hoặc bưu chính hoặc trực tiếp đến Sở Giáo dục và Đào tạo nơi tổ chức hoạt động giáo dục nghề nghiệp;
b) Trong thời hạn 10 ngày làm việc kể từ ngày nhận được hồ sơ, Sở Giáo dục và Đào tạo thẩm tra hồ sơ và cấp giấy chứng nhận đăng ký hoạt động giáo dục nghề nghiệp theo Mẫu số 06 Phụ lục VII kèm theo Nghị định 142/2025/NĐ-CP. Trường hợp không cấp giấy chứng nhận thì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- 10 ngày làm việc đối với các trường hợp quy định tại các điểm a, b, c, d và đ khoản 1 Điều 62 Nghị định số 142/2025/NĐ-CP;
- 03 ngày làm việc đối với trường hợp đổi tên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đối với các trường hợp quy định tại các điểm a, b, c, d và đ khoản 1 Điều 62 Nghị định số 142/2025/NĐ-CP;
- 03 ngày làm việc đối với trường hợp đổi tên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đối với các trường hợp quy định tại các điểm a, b, c, d và đ khoản 1 Điều 62 Nghị định số 142/2025/NĐ-CP;
- 03 ngày làm việc đối với trường hợp đổi tên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đăng ký hoạt động giáo dục nghề nghiệp theo Mẫu số 04 Phụ lục VII kèm theo Nghị định 142/2025/NĐ-CP</w:t>
            </w:r>
          </w:p>
        </w:tc>
        <w:tc>
          <w:p/>
          <w:p>
            <w:pPr>
              <w:spacing w:after="0" w:before="0" w:lineRule="auto" w:line="276"/>
              <w:jc w:val="left"/>
            </w:pPr>
            <w:r>
              <w:rPr>
                <w:rFonts w:ascii="Times New Roman" w:hAnsi="Times New Roman" w:cs="Times New Roman" w:eastAsia="Times New Roman"/>
                <w:b w:val="false"/>
                <w:sz w:val="26"/>
              </w:rPr>
              <w:t>Mus04_PL7.doc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đăng ký hoạt động giáo dục nghề nghiệp theo Mẫu số 05 Phụ lục VII kèm theo Nghị định 142/2025/NĐ-CP</w:t>
            </w:r>
          </w:p>
        </w:tc>
        <w:tc>
          <w:p/>
          <w:p>
            <w:pPr>
              <w:spacing w:after="0" w:before="0" w:lineRule="auto" w:line="276"/>
              <w:jc w:val="left"/>
            </w:pPr>
            <w:r>
              <w:rPr>
                <w:rFonts w:ascii="Times New Roman" w:hAnsi="Times New Roman" w:cs="Times New Roman" w:eastAsia="Times New Roman"/>
                <w:b w:val="false"/>
                <w:sz w:val="26"/>
              </w:rPr>
              <w:t>Mus05_PL7.doc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quyết định thành lập, cho phép thành lập trường trung cấp, trung tâm giáo dục nghề nghiệp, trung tâm giáo dục nghề nghiệp - giáo dục thường xuyên hoặc giấy chứng nhận đăng ký đầu tư (nếu có) của doanh nghiệp đối với trường hợp đăng ký hoạt động giáo dục nghề nghiệp trên địa bàn tỉnh, thành phố khác với nơi đặt trụ sở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Giáo dục và Đào tạo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hoạt động giáo dục nghề nghiệp đối với trường trung cấp, trung tâm giáo dục nghề nghiệp, trung tâm giáo dục nghề nghiệp - giáo dục thường xuyên và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74/2014/QH13</w:t>
            </w:r>
          </w:p>
        </w:tc>
        <w:tc>
          <w:p/>
          <w:p>
            <w:pPr>
              <w:spacing w:after="0" w:before="0" w:lineRule="auto" w:line="276"/>
              <w:jc w:val="left"/>
            </w:pPr>
            <w:r>
              <w:rPr>
                <w:rFonts w:ascii="Times New Roman" w:hAnsi="Times New Roman" w:cs="Times New Roman" w:eastAsia="Times New Roman"/>
                <w:b w:val="false"/>
                <w:sz w:val="26"/>
              </w:rPr>
              <w:t>LUẬT  Giáo dục nghề nghiệp</w:t>
            </w:r>
          </w:p>
        </w:tc>
        <w:tc>
          <w:p/>
          <w:p>
            <w:pPr>
              <w:spacing w:after="0" w:before="0" w:lineRule="auto" w:line="276"/>
              <w:jc w:val="left"/>
            </w:pPr>
            <w:r>
              <w:rPr>
                <w:rFonts w:ascii="Times New Roman" w:hAnsi="Times New Roman" w:cs="Times New Roman" w:eastAsia="Times New Roman"/>
                <w:b w:val="false"/>
                <w:sz w:val="26"/>
              </w:rPr>
              <w:t>27-11-2014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143/2016/NĐ-CP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 NGHỀ NGHIỆP</w:t>
            </w:r>
          </w:p>
        </w:tc>
        <w:tc>
          <w:p/>
          <w:p>
            <w:pPr>
              <w:spacing w:after="0" w:before="0" w:lineRule="auto" w:line="276"/>
              <w:jc w:val="left"/>
            </w:pPr>
            <w:r>
              <w:rPr>
                <w:rFonts w:ascii="Times New Roman" w:hAnsi="Times New Roman" w:cs="Times New Roman" w:eastAsia="Times New Roman"/>
                <w:b w:val="false"/>
                <w:sz w:val="26"/>
              </w:rPr>
              <w:t>14-10-2016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140/2018/NĐ-CP</w:t>
            </w:r>
          </w:p>
        </w:tc>
        <w:tc>
          <w:p/>
          <w:p>
            <w:pPr>
              <w:spacing w:after="0" w:before="0" w:lineRule="auto" w:line="276"/>
              <w:jc w:val="left"/>
            </w:pPr>
            <w:r>
              <w:rPr>
                <w:rFonts w:ascii="Times New Roman" w:hAnsi="Times New Roman" w:cs="Times New Roman" w:eastAsia="Times New Roman"/>
                <w:b w:val="false"/>
                <w:sz w:val="26"/>
              </w:rPr>
              <w:t>NGHỊ ĐỊNH  SỬA ĐỔI, BỔ SUNG CÁC NGHỊ ĐỊNH LIÊN QUAN ĐẾN ĐIỀU KIỆN ĐẦU TƯ KINH DOANH VÀ THỦ TỤC HÀNH CHÍNH THUỘC PHẠM VI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08-10-2018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15/2019/NĐ-CP</w:t>
            </w:r>
          </w:p>
        </w:tc>
        <w:tc>
          <w:p/>
          <w:p>
            <w:pPr>
              <w:spacing w:after="0" w:before="0" w:lineRule="auto" w:line="276"/>
              <w:jc w:val="left"/>
            </w:pPr>
            <w:r>
              <w:rPr>
                <w:rFonts w:ascii="Times New Roman" w:hAnsi="Times New Roman" w:cs="Times New Roman" w:eastAsia="Times New Roman"/>
                <w:b w:val="false"/>
                <w:sz w:val="26"/>
              </w:rPr>
              <w:t>Nghị định Quy định chi tiết và biện pháp thi hành Luật giao dục nghề nghiệp</w:t>
            </w:r>
          </w:p>
        </w:tc>
        <w:tc>
          <w:p/>
          <w:p>
            <w:pPr>
              <w:spacing w:after="0" w:before="0" w:lineRule="auto" w:line="276"/>
              <w:jc w:val="left"/>
            </w:pPr>
            <w:r>
              <w:rPr>
                <w:rFonts w:ascii="Times New Roman" w:hAnsi="Times New Roman" w:cs="Times New Roman" w:eastAsia="Times New Roman"/>
                <w:b w:val="false"/>
                <w:sz w:val="26"/>
              </w:rPr>
              <w:t>01-02-2019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24/2022/NĐ-CP</w:t>
            </w:r>
          </w:p>
        </w:tc>
        <w:tc>
          <w:p/>
          <w:p>
            <w:pPr>
              <w:spacing w:after="0" w:before="0" w:lineRule="auto" w:line="276"/>
              <w:jc w:val="left"/>
            </w:pPr>
            <w:r>
              <w:rPr>
                <w:rFonts w:ascii="Times New Roman" w:hAnsi="Times New Roman" w:cs="Times New Roman" w:eastAsia="Times New Roman"/>
                <w:b w:val="false"/>
                <w:sz w:val="26"/>
              </w:rPr>
              <w:t>SỬA ĐỔI, BỔ SUNG CÁC NGHỊ ĐỊNH QUY ĐỊNH VỀ ĐIỀU KIỆN ĐẦU TƯ VÀ HOẠT ĐỘNG TRONG LĨNH VỰC GIÁO DỤC NGHỀ NGHIỆP</w:t>
            </w:r>
          </w:p>
        </w:tc>
        <w:tc>
          <w:p/>
          <w:p>
            <w:pPr>
              <w:spacing w:after="0" w:before="0" w:lineRule="auto" w:line="276"/>
              <w:jc w:val="left"/>
            </w:pPr>
            <w:r>
              <w:rPr>
                <w:rFonts w:ascii="Times New Roman" w:hAnsi="Times New Roman" w:cs="Times New Roman" w:eastAsia="Times New Roman"/>
                <w:b w:val="false"/>
                <w:sz w:val="26"/>
              </w:rPr>
              <w:t>06-04-2022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1.10.1. Đối với đào tạo trình độ sơ cấp
- Có cơ sở vật chất, thiết bị đào tạo phù hợp với nghề, quy mô, trình độ đào tạo sơ cấp. Diện tích phòng học lý thuyết, phòng, xưởng thực hành dùng cho học tập, giảng dạy bảo đảm ở mức bình quân ít nhất là 04 m2/chỗ học; 
- Có đủ chương trình, giáo trình đào tạo của từng nghề đăng ký hoạt động và phải được xây dựng, thẩm định, ban hành theo quy định của Bộ trưởng Giáo dục và Đào tạo; 
- Có đội ngũ giáo viên đạt tiêu chuẩn, trình độ chuyên môn, kỹ năng nghề và nghiệp vụ sư phạm theo quy định của pháp luật; bảo đảm tỷ lệ học sinh quy đổi trên giáo viên quy đổi tối đa là 25 học sinh/giáo viên; có giáo viên cơ hữu cho nghề tổ chức đào tạo.
1.10.2. Đối với đào tạo trình độ trung cấp
Trường trung cấp được cấp giấy chứng nhận đăng ký hoạt động giáo dục nghề nghiệp trình độ trung cấp khi có đủ các điều kiện sau đây:
Các ngành, nghề đăng ký hoạt động giáo dục nghề nghiệp có trong danh mục ngành, nghề đào tạo trình độ trung cấp do Bộ trưởng Giáo dục và Đào tạo ban hành; phù hợp với cơ cấu ngành, nghề, trình độ đào tạo và quy hoạch phát triển kinh tế - xã hội của địa phương. Trường hợp tên ngành, nghề đào tạo chưa có trong danh mục ngành, nghề đào tạo trình độ trung cấp do Bộ trưởng Giáo dục và Đào tạo ban hành, trường trung cấp phải trình bày luận cứ khoa học về ngành, nghề đào tạo mới; xây dựng bản mô tả ngành, nghề và phân tích công việc của ngành, nghề đó theo Mẫu số 01 Phụ lục VII kèm theo Nghị định này.
Có cơ sở vật chất, thiết bị đào tạo phù hợp với ngành, nghề, quy mô và trình độ đào tạo, cụ thể: Có phòng học; phòng thí nghiệm; phòng, xưởng thực hành, thực tập; cơ sở sản xuất thử nghiệm đáp ứng yêu cầu giảng dạy, học tập và nghiên cứu khoa học theo chương trình đào tạo, quy mô đào tạo của từng ngành, nghề. Diện tích phòng học lý thuyết; phòng, xưởng thực hành, thực tập dùng cho học tập, giảng dạy bảo đảm ở mức bình quân ít nhất là 5,5 m2/chỗ học; có đủ thiết bị đào tạo của từng ngành, nghề đào tạo đáp ứng theo danh mục và tiêu chuẩn thiết bị tối thiểu do Bộ trưởng Giáo dục và Đào tạo quy định. Trường hợp Bộ trưởng Giáo dục và Đào tạo chưa ban hành danh mục và tiêu chuẩn thiết bị tối thiểu của ngành, nghề đăng ký hoạt động giáo dục nghề nghiệp thì phải bảo đảm đủ thiết bị đào tạo theo quy định trong chương trình đào tạo và tương ứng với quy mô đào tạo của ngành, nghề đăng ký hoạt động; có thư viện với các phần mềm và trang thiết bị phục vụ cho việc mượn, tra cứu, nghiên cứu tài liệu; có đủ nguồn thông tin tư liệu như sách, giáo trình, bài giảng của các mô đun, tín chỉ, học phần, môn học, các tài liệu liên quan đáp ứng yêu cầu giảng dạy, học tập; có đủ phòng làm việc, khu hành chính và khu hiệu bộ, bảo đảm đáp ứng cơ cấu tổ chức phòng, khoa, bộ môn chuyên môn, bảo đảm diện tích ít nhất là 06 m2/người đối với đào tạo trình độ trung cấp; có các công trình xây dựng phục vụ hoạt động văn hóa, thể thao, giải trí và các công trình y tế, dịch vụ để phục vụ cán bộ quản lý, giáo viên, giảng viên và học sinh, sinh viên; có đủ chương trình, giáo trình đào tạo của từng ngành, nghề đăng ký hoạt động được xây dựng, thẩm định, ban hành theo quy định của Bộ trưởng Giáo dục và Đào tạo; 
Có đội ngũ giáo viên, giảng viên, cán bộ quản lý đủ về số lượng, phù hợp với cơ cấu ngành, nghề và trình độ đào tạo; đạt tiêu chuẩn, trình độ chuyên môn, kỹ năng nghề và nghiệp vụ sư phạm theo quy định của pháp luật; bảo đảm thực hiện mục tiêu, chương trình đào tạo (trong đó: Tỷ lệ học sinh, sinh viên/giáo viên, giảng viên tối đa là 25. có số lượng giáo viên, giảng viên cơ hữu đảm nhận tối thiểu 60% khối lượng chương trình của mỗi ngành, nghề đào tạo); giáo viên, giảng viên là người nước ngoài giảng dạy tại các trường trung cấp, trường cao đẳng phải đáp ứng các quy định về lao động nước ngoài làm việc tại Việt Nam theo quy định của pháp luật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2026-05-21T16:34:41Z</dcterms:created>
  <dc:creator>Apache POI</dc:creator>
</cp:coreProperties>
</file>