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xuất bản phẩm không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trung ương; tổ chức nước ngoài có trụ sở tại thành phố Hà Nội gửi hồ sơ đề nghị cấp giấy phép nhập khẩu xuất bản phẩm không kinh doanh đến Cục Xuất bản, In và Phát hành (Bộ Văn hóa, Thể thao và Du lịch).</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Cục Xuất bản, In và Phát hành phải cấp giấy phép; trường hợp không cấp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25.000 Đồng</w:t>
              <w:t xml:space="preserve"> (25.000 đồng/hồ sơ (Theo quy định tại Thông tư số 64/2025/TT-BTC ngày 30 tháng 6 năm 2025 của Bộ trưởng Bộ Tài chính ))</w:t>
              <w:br/>
              <w:t>File đính kèm: TT64.2025.TT-BTC.pdf</w:t>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25.000 Đồng</w:t>
              <w:t xml:space="preserve"> (25.000 đồng/hồ sơ (Theo quy định tại Thông tư số 64/2025/TT-BTC ngày 30 tháng 6 năm 2025 của Bộ trưởng Bộ Tài chính ))</w:t>
              <w:br/>
              <w:t>File đính kèm: TT64.2025.TT-BTC.pdf</w:t>
            </w:r>
          </w:p>
        </w:tc>
        <w:tc>
          <w:p/>
          <w:p>
            <w:pPr>
              <w:spacing w:after="0" w:before="0" w:lineRule="auto" w:line="276"/>
              <w:jc w:val="left"/>
            </w:pPr>
            <w:r>
              <w:rPr>
                <w:rFonts w:ascii="Times New Roman" w:hAnsi="Times New Roman" w:cs="Times New Roman" w:eastAsia="Times New Roman"/>
                <w:b w:val="false"/>
                <w:sz w:val="26"/>
              </w:rPr>
              <w:t>- Nộp trực tuyến qua Cổng Thông tin một cửa Quốc gia (Trong trường hợp hệ thống trên gặp sự cố, nộp qua Cổng dịch vụ công quốc gia hoặc Cổng dịch vụ công Bộ Văn hóa, Thể thao và Du lịch)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25.0000 Đồng</w:t>
              <w:t xml:space="preserve"> (25.000 đồng/hồ sơ (Theo quy định tại Thông tư số 64/2025/TT-BTC ngày 30 tháng 6 năm 2025 của Bộ trưởng Bộ Tài chính ))</w:t>
              <w:br/>
              <w:t>File đính kèm: TT64.2025.TT-BTC.pdf</w:t>
            </w:r>
          </w:p>
        </w:tc>
        <w:tc>
          <w:p/>
          <w:p>
            <w:pPr>
              <w:spacing w:after="0" w:before="0" w:lineRule="auto" w:line="276"/>
              <w:jc w:val="left"/>
            </w:pPr>
            <w:r>
              <w:rPr>
                <w:rFonts w:ascii="Times New Roman" w:hAnsi="Times New Roman" w:cs="Times New Roman" w:eastAsia="Times New Roman"/>
                <w:b w:val="false"/>
                <w:sz w:val="26"/>
              </w:rPr>
              <w:t>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nhập khẩu xuất bản phẩm không kinh doanh  (Mẫu số 29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Mus29-nNcpGPNKXNPkhngKD.doc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mục xuất bản phẩm nhập khẩu không kinh doanh (Mẫu số 30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Mus30-DanhmcXBPNKkhngKD.doc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Xuất bản, In và Phát hành. Số 10 Đường Thành, phường Hoàn Kiếm,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xuất bản phẩm không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19/2012/QH13</w:t>
            </w:r>
          </w:p>
        </w:tc>
        <w:tc>
          <w:p/>
          <w:p>
            <w:pPr>
              <w:spacing w:after="0" w:before="0" w:lineRule="auto" w:line="276"/>
              <w:jc w:val="left"/>
            </w:pPr>
            <w:r>
              <w:rPr>
                <w:rFonts w:ascii="Times New Roman" w:hAnsi="Times New Roman" w:cs="Times New Roman" w:eastAsia="Times New Roman"/>
                <w:b w:val="false"/>
                <w:sz w:val="26"/>
              </w:rPr>
              <w:t>Luật xuất bản</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2026-05-26T18:45:03Z</dcterms:created>
  <dc:creator>Apache POI</dc:creator>
</cp:coreProperties>
</file>