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trong phạm vi bảo vệ công trình thuỷ lợi đối với hoạt động du lịch, thể thao, nghiên cứu khoa học, kinh doanh, dịch vụ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Về cắt giảm, phân cấp, đơn giản hóa thủ tục hành chính và cắt giảm, đơn giản hóa điều kiện kinh doanh thuộc phạm vi quản lý của Bộ Nông nghiệp và Môi trường</w:t>
            </w:r>
          </w:p>
        </w:tc>
        <w:tc>
          <w:p/>
          <w:p>
            <w:pPr>
              <w:spacing w:after="0" w:before="0" w:lineRule="auto" w:line="276"/>
              <w:jc w:val="left"/>
            </w:pPr>
            <w:r>
              <w:rPr>
                <w:rFonts w:ascii="Times New Roman" w:hAnsi="Times New Roman" w:cs="Times New Roman" w:eastAsia="Times New Roman"/>
                <w:b w:val="false"/>
                <w:sz w:val="26"/>
              </w:rPr>
              <w:t>29-04-2026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2026-05-27T21:05:01Z</dcterms:created>
  <dc:creator>Apache POI</dc:creator>
</cp:coreProperties>
</file>