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gây nghiện, thuốc hướng thần, thuốc tiền chất, thuốc dạng phối hợp có chứa dược chất gây nghiện, thuốc dạng phối hợp có chứa dược chất hướng thần, thuốc dạng phối hợp có chứa tiền chất, nguyên liệu làm thuốc là dược chất gây nghiện, dược chất hướng thần, tiền chất dùng làm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xuất khẩu nộp hồ sơ trực tiếp hoặc gửi qua đường bưu điện về Cục Quản lý Dược;</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Bộ Y tế cấp phép xuất khẩu trong thời hạn 10 (mười) ngày làm việc kể từ ngày ghi trên Phiếu tiếp nhận hồ sơ;
Trường hợp có yêu cầu sửa đổi, bổ sung hồ sơ, Bộ Y tế gửi văn bản cho cơ sở để yêu cầu sửa đổi, bổ sung hồ sơ trong thời hạn 07 (bảy) ngày làm việc, kể từ ngày ghi trên Phiếu tiếp nhận hồ sơ;
</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xuất khẩu theo quy định tại bước 3;
Trong thời hạn 06 (sáu) tháng, kể từ ngày Bộ Y tế có văn bản thông báo sửa đổi, bổ sung, cơ sở đề nghị cấp phép xuất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01 (một) bản chính Đơn hàng xuất khẩu theo: - Mẫu số 01 Phụ lục III của Nghị định số 54/2017/NĐ-CP đối với thuốc gây nghiện, thuốc hướng thần, thuốc tiền chất, thuốc dạng phối hợp có chứa dược chất gây nghiện, thuốc dạng phối hợp có chứa dược chất hướng thần, thuốc dạng phối hợp có chứa tiền chất; - Mẫu số 02 Phụ lục III của Nghị định số 54/2017/NĐ-CP đối với nguyên liệu làm thuốc là dược chất gây nghiện, dược chất hướng thần, tiền chất dùng làm thuốc;</w:t>
            </w:r>
          </w:p>
        </w:tc>
        <w:tc>
          <w:p/>
          <w:p>
            <w:pPr>
              <w:spacing w:after="0" w:before="0" w:lineRule="auto" w:line="276"/>
              <w:jc w:val="left"/>
            </w:pPr>
            <w:r>
              <w:rPr>
                <w:rFonts w:ascii="Times New Roman" w:hAnsi="Times New Roman" w:cs="Times New Roman" w:eastAsia="Times New Roman"/>
                <w:b w:val="false"/>
                <w:sz w:val="26"/>
              </w:rPr>
              <w:t>ND 54_Mau 01_02 Phuluc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số lượng, nguồn gốc thuốc, nguyên liệu làm thuốc theo Mẫu số 03 Phụ lục III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 54_Mau 03_Phuluc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chính Giấy phép nhập khẩu thuốc, nguyên liệu làm thuốc còn hiệu lực do cơ quan quản lý có thẩm quyền nước nhập khẩu cấp. Trường hợp Giấy phép nhập khẩu không được thể hiện bằng tiếng Việt hoặc tiếng Anh thì phải nộp thêm bản dịch công chứng của giấy phép ra tiếng Việt hoặc tiếng Anh. Giấy phép nhập khẩu phải được hợp pháp hoá lãnh sự theo quy định của pháp luật về hợp pháp hóa lãnh sự, trừ trường hợp được miễn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 - Bộ Y tế, 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khẩu/Công văn cho phép xuất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đáp ứng một trong các tiêu chí sau:
a) Được sản xuất tại Việt Nam,có giấy đăng ký lưu hành thuốc tại Việt Nam và có giấy phép nhập khẩu do cơ quan quản lý có thẩm quyền nước nhập khẩu cấp;
b) Được sản xuất tại nước ngoài, được cấp phép lưu hành tại Việt Nam và có cấp giấy phép nhập khẩu do cơ quan quản lý có thẩm quyền nước nhập khẩu cấp.
2. Nguyên liệu làm thuốc đáp ứng một trong các tiêu chí sau:
a) Được sản xuất tại Việt Nam, có giấy đăng ký lưu hành tại Việt Nam hoặc chưa có giấy đăng ký lưu hành tại Việt Nam, có giấy phép nhập khẩu do cơ quan quản lý có thẩm quyền nước nhập khẩu cấp;
b) Được sản xuất tại nước ngoài, được cấp phép lưu hành tại Việt Nam và có giấy phép nhập khẩu bởi cơ quan quản lý có thẩm quyền nước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2026-05-26T18:45:52Z</dcterms:created>
  <dc:creator>Apache POI</dc:creator>
</cp:coreProperties>
</file>