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1.004426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sử dụng tần số và thiết bị vô tuyến điện đối với đài vô tuyến điện phải đăng ký với tổ chức hàng không dân dụng quốc tế thuộc nghiệp vụ di động hàng không sử dụng tần số ngoài băng tần từ 2850 kHz đến 22000 kHz và nghiệp vụ vô tuyến dẫn đường hàng không, bao gồm đài vô tuyến điện đặt tại các sân bay chuyên dùng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Tổ chức, cá nhân hoàn thiện hồ sơ đề nghị cấp giấy phép sử dụng tần số và thiết bị vô tuyến điện đối với đài vô tuyến điện phải đăng ký với tổ chức hàng không dân dụng quốc tế thuộc nghiệp vụ di động hàng không sử dụng tần số ngoài băng tần từ 2850 kHz đến 22000 kHz và nghiệp vụ vô tuyến dẫn đường hàng không, bao gồm đài vô tuyến điện đặt tại các sân bay chuyên dùng theo quy định tại khoản 1 Điều 9 Nghị định số 63/2023/NĐ-CP được sửa đổi, bổ sung bởi Nghị định số 15/2026/NĐ-CP và nộp hồ sơ đến Bộ phận Một cửa của Bộ Khoa học và Công nghệ (Cục Tần số vô tuyến điện).</w:t>
      </w:r>
    </w:p>
    <w:p>
      <w:pPr>
        <w:spacing w:after="0" w:before="0" w:lineRule="auto" w:line="276"/>
        <w:jc w:val="both"/>
      </w:pPr>
      <w:r>
        <w:rPr>
          <w:rFonts w:ascii="Times New Roman" w:hAnsi="Times New Roman" w:cs="Times New Roman" w:eastAsia="Times New Roman"/>
          <w:b w:val="false"/>
          <w:sz w:val="26"/>
        </w:rPr>
        <w:t>- Trường hợp hồ sơ chưa đầy đủ, chưa đúng quy định thì trong thời hạn 05 ngày làm việc kể từ ngày nhận được hồ sơ, Cục Tần số vô tuyến điện có trách nhiệm thông báo, hướng dẫn cho tổ chức, cá nhân để bổ sung, hoàn thiện hồ sơ</w:t>
      </w:r>
    </w:p>
    <w:p>
      <w:pPr>
        <w:spacing w:after="0" w:before="0" w:lineRule="auto" w:line="276"/>
        <w:jc w:val="both"/>
      </w:pPr>
      <w:r>
        <w:rPr>
          <w:rFonts w:ascii="Times New Roman" w:hAnsi="Times New Roman" w:cs="Times New Roman" w:eastAsia="Times New Roman"/>
          <w:b w:val="false"/>
          <w:sz w:val="26"/>
        </w:rPr>
        <w:t>Trường hợp hồ sơ đầy đủ, đúng quy định:
+ Trong thời hạn 20 ngày Cục Tần số vô tuyến điện thực hiện việc ấn định, phối hợp tần số vô tuyến điện trong nước:
(1) Trường hợp ấn định, phối hợp tần số vô tuyến điện trong nước không khả thi, trong thời gian 20 ngày, Cục Tần số vô tuyến điện từ chối cấp giấy phép và nêu rõ lý do kể từ ngày nhận được hồ sơ đầy đủ, đúng quy định. 
(2) Trường hợp ấn định, phối hợp tần số vô tuyến điện trong nước khả thi thì Cục Tần số vô tuyến điện gửi văn bản kèm theo bản sao hồ sơ đề nghị cơ quan chuyên môn thuộc Bộ Xây dựng phối hợp quốc tế về tần số vô tuyến điện.</w:t>
      </w:r>
    </w:p>
    <w:p>
      <w:pPr>
        <w:spacing w:after="0" w:before="0" w:lineRule="auto" w:line="276"/>
        <w:jc w:val="both"/>
      </w:pPr>
      <w:r>
        <w:rPr>
          <w:rFonts w:ascii="Times New Roman" w:hAnsi="Times New Roman" w:cs="Times New Roman" w:eastAsia="Times New Roman"/>
          <w:b w:val="false"/>
          <w:sz w:val="26"/>
        </w:rPr>
        <w:t>+ Trong thời hạn 35 ngày kể từ ngày nhận được văn bản đề nghị của Cục Tần số vô tuyến điện, cơ quan chuyên môn thuộc Bộ xây dựng thực hiện: 
(1) Phối hợp quốc tế về tần số vô tuyến điện với các nhà chức trách hàng không quốc tế, Tổ chức Hàng không dân dụng quốc tế; 
(2) Phối hợp với tổ chức, cá nhân phát, thu thử tần số vô tuyến điện khi cần thiết trên cơ sở ý kiến đồng ý của Cục Tần số vô tuyến điện. Cục Tần số vô tuyến điện có ý kiến về việc phát, thu thử trong thời hạn 03 ngày làm việc kể từ ngày nhận được yêu cầu phát, thu thử của cơ quan chuyên môn thuộc Bộ Xây dựng;
(3) Gửi văn bản thông báo cho Cục Tần số vô tuyến điện về kết quả phối hợp quốc tế về tần số vô tuyến điện bao gồm cả trường hợp phối hợp thành công và không thành công. Trường hợp việc phối hợp quốc tế về tần số vô tuyến điện cần có sự phối hợp chuyên sâu về kỹ thuật, cơ quan chuyên môn thuộc Bộ Giao thông vận tải phối hợp với Cục Tần số vô tuyến điện thực hiện việc phối hợp này.</w:t>
      </w:r>
    </w:p>
    <w:p>
      <w:pPr>
        <w:spacing w:after="0" w:before="0" w:lineRule="auto" w:line="276"/>
        <w:jc w:val="both"/>
      </w:pPr>
      <w:r>
        <w:rPr>
          <w:rFonts w:ascii="Times New Roman" w:hAnsi="Times New Roman" w:cs="Times New Roman" w:eastAsia="Times New Roman"/>
          <w:b w:val="false"/>
          <w:sz w:val="26"/>
        </w:rPr>
        <w:t>+ Cục Tần số vô tuyến điện cấp giấy phép sử dụng tần số và thiết bị vô tuyến điện đối với đài vô tuyến điện phải đăng ký với tổ chức hàng không dân dụng quốc tế thuộc nghiệp vụ di động hàng không sử dụng tần số ngoài băng tần từ 2850 kHz đến 22000 kHz và nghiệp vụ vô tuyến dẫn đường hàng không, bao gồm đài vô tuyến điện đặt tại các sân bay chuyên dùng hoặc từ chối trong thời hạn 7 ngày kể từ ngày nhận được văn bản của cơ quan chuyên môn thuộc Bộ Xây dựng về kết quả phối hợp.</w:t>
      </w:r>
    </w:p>
    <w:p>
      <w:pPr>
        <w:spacing w:after="0" w:before="0" w:lineRule="auto" w:line="276"/>
        <w:jc w:val="both"/>
      </w:pPr>
      <w:r>
        <w:rPr>
          <w:rFonts w:ascii="Times New Roman" w:hAnsi="Times New Roman" w:cs="Times New Roman" w:eastAsia="Times New Roman"/>
          <w:b w:val="false"/>
          <w:sz w:val="26"/>
        </w:rPr>
        <w:t>+ Trường hợp số lượng tần số vô tuyến điện cần phải ấn định vượt quá 100 tần số trong một hồ sơ hoặc vượt quá 100 tần số trong các hồ sơ được gửi trong vòng 28 ngày của một tổ chức, cá nhân, Cục Tần số vô tuyến điện cấp giấy phép sử dụng tần số và thiết bị vô tuyến điện đối với đài vô tuyến điện phải đăng ký với tổ chức hàng không dân dụng quốc tế thuộc nghiệp vụ di động hàng không sử dụng tần số ngoài băng tần từ 2850 kHz đến 22000 kHz và nghiệp vụ vô tuyến dẫn đường hàng không, bao gồm đài vô tuyến điện đặt tại các sân bay chuyên dùng hoặc từ chối cấp giấy phép và nêu rõ lý do trong thời hạn 03 tháng.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62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p>
            <w:pPr>
              <w:spacing w:after="0" w:before="0" w:lineRule="auto" w:line="276"/>
              <w:jc w:val="left"/>
            </w:pPr>
            <w:r>
              <w:rPr>
                <w:rFonts w:ascii="Times New Roman" w:hAnsi="Times New Roman" w:cs="Times New Roman" w:eastAsia="Times New Roman"/>
                <w:b w:val="false"/>
                <w:sz w:val="26"/>
              </w:rPr>
              <w:t xml:space="preserve">Lệ phí :  </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tc>
        <w:tc>
          <w:p/>
          <w:p>
            <w:pPr>
              <w:spacing w:after="0" w:before="0" w:lineRule="auto" w:line="276"/>
              <w:jc w:val="left"/>
            </w:pPr>
            <w:r>
              <w:rPr>
                <w:rFonts w:ascii="Times New Roman" w:hAnsi="Times New Roman" w:cs="Times New Roman" w:eastAsia="Times New Roman"/>
                <w:b w:val="false"/>
                <w:sz w:val="26"/>
              </w:rPr>
              <w:t>- 20 ngày (đối với trường hợp không phải thực hiện phối hợp trong nước và quốc tế về tần số vô tuyến điện hoặc phối hợp tần số trong nước không khả thi) kể từ ngày nhận được hồ sơ đầy đủ, đúng quy định hoặc; 
- 62 ngày (đối với trường hợp phải thực hiện phối hợp trong nước và quốc tế về tần số vô tuyến điện) kể từ ngày nhận được hồ sơ đầy đủ, đúng quy định.
- 03 tháng trong trường hợp số lượng tần số vô tuyến điện cần phải ấn định vượt quá 100 tần số trong một hồ sơ hoặc vượt quá 100 tần số trong các hồ sơ được gửi trong vòng 28 ngày của một tổ chức, cá nhân.
- Nộp trực tiếp tại Bộ phận Một cửa của Bộ Khoa học và Công nghệ;
(Địa chỉ Bộ phận Một cửa của Bộ Khoa học và Công nghệ: 
+ Bộ phận Một cửa cơ sở 1 tại Tầng 1, Tòa nhà Cục Đổi mới Sáng tạo, số 113 đường Trần Duy Hưng, phường Yên Hòa, TP. Hà Nội;   
+ Bộ phận Một cửa cơ sở 2 tại Tòa nhà số 1196 đường 3 tháng 2, Phường Bình Thới, TP. Hồ Chí Minh; 
+ Bộ phận Một cửa cơ sở 3 tại Đại diện Văn phòng Bộ tại miền Trung, số 42 Trần Quốc Toản, TP. Đà Nẵng).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62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p>
            <w:pPr>
              <w:spacing w:after="0" w:before="0" w:lineRule="auto" w:line="276"/>
              <w:jc w:val="left"/>
            </w:pPr>
            <w:r>
              <w:rPr>
                <w:rFonts w:ascii="Times New Roman" w:hAnsi="Times New Roman" w:cs="Times New Roman" w:eastAsia="Times New Roman"/>
                <w:b w:val="false"/>
                <w:sz w:val="26"/>
              </w:rPr>
              <w:t xml:space="preserve">Lệ phí :  </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tc>
        <w:tc>
          <w:p/>
          <w:p>
            <w:pPr>
              <w:spacing w:after="0" w:before="0" w:lineRule="auto" w:line="276"/>
              <w:jc w:val="left"/>
            </w:pPr>
            <w:r>
              <w:rPr>
                <w:rFonts w:ascii="Times New Roman" w:hAnsi="Times New Roman" w:cs="Times New Roman" w:eastAsia="Times New Roman"/>
                <w:b w:val="false"/>
                <w:sz w:val="26"/>
              </w:rPr>
              <w:t>- 20 ngày (đối với trường hợp không phải thực hiện phối hợp trong nước và quốc tế về tần số vô tuyến điện hoặc phối hợp tần số trong nước không khả thi) kể từ ngày nhận được hồ sơ đầy đủ, đúng quy định hoặc; 
- 62 ngày (đối với trường hợp phải thực hiện phối hợp trong nước và quốc tế về tần số vô tuyến điện) kể từ ngày nhận được hồ sơ đầy đủ, đúng quy định.
- 03 tháng trong trường hợp số lượng tần số vô tuyến điện cần phải ấn định vượt quá 100 tần số trong một hồ sơ hoặc vượt quá 100 tần số trong các hồ sơ được gửi trong vòng 28 ngày của một tổ chức, cá nhân.
- Nộp trực tuyến trên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62 Ngày</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p>
            <w:pPr>
              <w:spacing w:after="0" w:before="0" w:lineRule="auto" w:line="276"/>
              <w:jc w:val="left"/>
            </w:pPr>
            <w:r>
              <w:rPr>
                <w:rFonts w:ascii="Times New Roman" w:hAnsi="Times New Roman" w:cs="Times New Roman" w:eastAsia="Times New Roman"/>
                <w:b w:val="false"/>
                <w:sz w:val="26"/>
              </w:rPr>
              <w:t xml:space="preserve">Phí :  </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tc>
        <w:tc>
          <w:p/>
          <w:p>
            <w:pPr>
              <w:spacing w:after="0" w:before="0" w:lineRule="auto" w:line="276"/>
              <w:jc w:val="left"/>
            </w:pPr>
            <w:r>
              <w:rPr>
                <w:rFonts w:ascii="Times New Roman" w:hAnsi="Times New Roman" w:cs="Times New Roman" w:eastAsia="Times New Roman"/>
                <w:b w:val="false"/>
                <w:sz w:val="26"/>
              </w:rPr>
              <w:t>- 20 ngày (đối với trường hợp không phải thực hiện phối hợp trong nước và quốc tế về tần số vô tuyến điện hoặc phối hợp tần số trong nước không khả thi) kể từ ngày nhận được hồ sơ đầy đủ, đúng quy định hoặc; 
- 62 ngày (đối với trường hợp phải thực hiện phối hợp trong nước và quốc tế về tần số vô tuyến điện) kể từ ngày nhận được hồ sơ đầy đủ, đúng quy định.
- 03 tháng trong trường hợp số lượng tần số vô tuyến điện cần phải ấn định vượt quá 100 tần số trong một hồ sơ hoặc vượt quá 100 tần số trong các hồ sơ được gửi trong vòng 28 ngày của một tổ chức, cá nhân.
- Nộp trực tiếp tại Bộ phận Một cửa của Bộ Khoa học và Công nghệ;
(Địa chỉ Bộ phận Một cửa của Bộ Khoa học và Công nghệ: 
+ Bộ phận Một cửa cơ sở 1 tại Tầng 1, Tòa nhà Cục Đổi mới Sáng tạo, số 113 đường Trần Duy Hưng, phường Yên Hòa, TP. Hà Nội;   
+ Bộ phận Một cửa cơ sở 2 tại Tòa nhà số 1196 đường 3 tháng 2, Phường Bình Thới, TP. Hồ Chí Minh; 
+ Bộ phận Một cửa cơ sở 3 tại Đại diện Văn phòng Bộ tại miền Trung, số 42 Trần Quốc Toản, TP. Đà Nẵng).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thông tin chung và bản khai thông số kỹ thuật, khai thác  theo Mẫu 1a Phụ lục II của Nghị định số 63/2023/NĐ-CP được sửa đổi, bổ sung bởi Nghị định số 15/2026/NĐ-CP</w:t>
            </w:r>
          </w:p>
        </w:tc>
        <w:tc>
          <w:p/>
          <w:p>
            <w:pPr>
              <w:spacing w:after="0" w:before="0" w:lineRule="auto" w:line="276"/>
              <w:jc w:val="left"/>
            </w:pPr>
            <w:r>
              <w:rPr>
                <w:rFonts w:ascii="Times New Roman" w:hAnsi="Times New Roman" w:cs="Times New Roman" w:eastAsia="Times New Roman"/>
                <w:b w:val="false"/>
                <w:sz w:val="26"/>
              </w:rPr>
              <w:t>1a.Bnkhaithngskthutkhaithc.docx</w:t>
            </w:r>
          </w:p>
          <w:p>
            <w:pPr>
              <w:spacing w:after="0" w:before="0" w:lineRule="auto" w:line="276"/>
              <w:jc w:val="left"/>
            </w:pPr>
            <w:r>
              <w:rPr>
                <w:rFonts w:ascii="Times New Roman" w:hAnsi="Times New Roman" w:cs="Times New Roman" w:eastAsia="Times New Roman"/>
                <w:b w:val="false"/>
                <w:sz w:val="26"/>
              </w:rPr>
              <w:t>bankhaithongtinchungND63.docx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Tần số vô tuyến điện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Tần số vô tuyến điện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Bộ Khoa học và Công nghệ; (Địa chỉ Bộ phận Một cửa của Bộ Khoa học và Công nghệ:  (1) Bộ phận Một cửa cơ sở 1 tại Tầng 1, Tòa nhà Cục Đổi mới Sáng tạo, số 113 đường Trần Duy Hưng, phường Yên Hòa, TP. Hà Nội;    (2) Bộ phận Một cửa cơ sở 2 tại Tòa nhà số 1196 đường 3 tháng 2, Phường Bình Thới, TP. Hồ Chí Minh;  (3) Bộ phận Một cửa cơ sở 3 tại Đại diện Văn phòng Bộ tại miền Trung, số 42 Trần Quốc Toản, TP. Đà Nẵng).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tần số và thiết bị vô tuyến điện đối với các thiết bị vô tuyến điện không thuộc các mẫu 1b, 1c, 1d, 1đ, 1e, 1g1, 1g2, 1h, 1i, 1m, 1l.</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265/2016/TT-BTC	</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42/2009/QH12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66.16/2026/NQ-CP</w:t>
            </w:r>
          </w:p>
        </w:tc>
        <w:tc>
          <w:p/>
          <w:p>
            <w:pPr>
              <w:spacing w:after="0" w:before="0" w:lineRule="auto" w:line="276"/>
              <w:jc w:val="left"/>
            </w:pPr>
            <w:r>
              <w:rPr>
                <w:rFonts w:ascii="Times New Roman" w:hAnsi="Times New Roman" w:cs="Times New Roman" w:eastAsia="Times New Roman"/>
                <w:b w:val="false"/>
                <w:sz w:val="26"/>
              </w:rPr>
              <w:t>Cắt giảm, đơn giản hóa thủ tục hành chính, quy định liên quan đến hoạt động sản xuất, kinh doanh</w:t>
            </w:r>
          </w:p>
        </w:tc>
        <w:tc>
          <w:p/>
          <w:p>
            <w:pPr>
              <w:spacing w:after="0" w:before="0" w:lineRule="auto" w:line="276"/>
              <w:jc w:val="left"/>
            </w:pPr>
            <w:r>
              <w:rPr>
                <w:rFonts w:ascii="Times New Roman" w:hAnsi="Times New Roman" w:cs="Times New Roman" w:eastAsia="Times New Roman"/>
                <w:b w:val="false"/>
                <w:sz w:val="26"/>
              </w:rPr>
              <w:t>21-04-2026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11/2022/TT-BTC</w:t>
            </w:r>
          </w:p>
        </w:tc>
        <w:tc>
          <w:p/>
          <w:p>
            <w:pPr>
              <w:spacing w:after="0" w:before="0" w:lineRule="auto" w:line="276"/>
              <w:jc w:val="left"/>
            </w:pPr>
            <w:r>
              <w:rPr>
                <w:rFonts w:ascii="Times New Roman" w:hAnsi="Times New Roman" w:cs="Times New Roman" w:eastAsia="Times New Roman"/>
                <w:b w:val="false"/>
                <w:sz w:val="26"/>
              </w:rPr>
              <w:t>Thông tư số 11/2022/TT-BTC ngày 21/02/2022 của Bộ trưởng Bộ Tài chính</w:t>
            </w:r>
          </w:p>
        </w:tc>
        <w:tc>
          <w:p/>
          <w:p>
            <w:pPr>
              <w:spacing w:after="0" w:before="0" w:lineRule="auto" w:line="276"/>
              <w:jc w:val="left"/>
            </w:pPr>
            <w:r>
              <w:rPr>
                <w:rFonts w:ascii="Times New Roman" w:hAnsi="Times New Roman" w:cs="Times New Roman" w:eastAsia="Times New Roman"/>
                <w:b w:val="false"/>
                <w:sz w:val="26"/>
              </w:rPr>
              <w:t>21-02-2022</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63/2023/NĐ-CP</w:t>
            </w:r>
          </w:p>
        </w:tc>
        <w:tc>
          <w:p/>
          <w:p>
            <w:pPr>
              <w:spacing w:after="0" w:before="0" w:lineRule="auto" w:line="276"/>
              <w:jc w:val="left"/>
            </w:pPr>
            <w:r>
              <w:rPr>
                <w:rFonts w:ascii="Times New Roman" w:hAnsi="Times New Roman" w:cs="Times New Roman" w:eastAsia="Times New Roman"/>
                <w:b w:val="false"/>
                <w:sz w:val="26"/>
              </w:rPr>
              <w:t>Nghị định số 63/2023/NĐ-CP của Chính phủ</w:t>
            </w:r>
          </w:p>
        </w:tc>
        <w:tc>
          <w:p/>
          <w:p>
            <w:pPr>
              <w:spacing w:after="0" w:before="0" w:lineRule="auto" w:line="276"/>
              <w:jc w:val="left"/>
            </w:pPr>
            <w:r>
              <w:rPr>
                <w:rFonts w:ascii="Times New Roman" w:hAnsi="Times New Roman" w:cs="Times New Roman" w:eastAsia="Times New Roman"/>
                <w:b w:val="false"/>
                <w:sz w:val="26"/>
              </w:rPr>
              <w:t>18-08-2023</w:t>
            </w:r>
          </w:p>
        </w:tc>
        <w:tc>
          <w:p/>
        </w:tc>
      </w:tr>
      <w:tr>
        <w:tc>
          <w:p/>
          <w:p>
            <w:pPr>
              <w:spacing w:after="0" w:before="0" w:lineRule="auto" w:line="276"/>
              <w:jc w:val="left"/>
            </w:pPr>
            <w:r>
              <w:rPr>
                <w:rFonts w:ascii="Times New Roman" w:hAnsi="Times New Roman" w:cs="Times New Roman" w:eastAsia="Times New Roman"/>
                <w:b w:val="false"/>
                <w:sz w:val="26"/>
              </w:rPr>
              <w:t>09/2022/QH15</w:t>
            </w:r>
          </w:p>
        </w:tc>
        <w:tc>
          <w:p/>
          <w:p>
            <w:pPr>
              <w:spacing w:after="0" w:before="0" w:lineRule="auto" w:line="276"/>
              <w:jc w:val="left"/>
            </w:pPr>
            <w:r>
              <w:rPr>
                <w:rFonts w:ascii="Times New Roman" w:hAnsi="Times New Roman" w:cs="Times New Roman" w:eastAsia="Times New Roman"/>
                <w:b w:val="false"/>
                <w:sz w:val="26"/>
              </w:rPr>
              <w:t>Luật số 09/2022/QH15 của Quốc hội</w:t>
            </w:r>
          </w:p>
        </w:tc>
        <w:tc>
          <w:p/>
          <w:p>
            <w:pPr>
              <w:spacing w:after="0" w:before="0" w:lineRule="auto" w:line="276"/>
              <w:jc w:val="left"/>
            </w:pPr>
            <w:r>
              <w:rPr>
                <w:rFonts w:ascii="Times New Roman" w:hAnsi="Times New Roman" w:cs="Times New Roman" w:eastAsia="Times New Roman"/>
                <w:b w:val="false"/>
                <w:sz w:val="26"/>
              </w:rPr>
              <w:t>09-11-2022</w:t>
            </w:r>
          </w:p>
        </w:tc>
        <w:tc>
          <w:p/>
        </w:tc>
      </w:tr>
      <w:tr>
        <w:tc>
          <w:p/>
          <w:p>
            <w:pPr>
              <w:spacing w:after="0" w:before="0" w:lineRule="auto" w:line="276"/>
              <w:jc w:val="left"/>
            </w:pPr>
            <w:r>
              <w:rPr>
                <w:rFonts w:ascii="Times New Roman" w:hAnsi="Times New Roman" w:cs="Times New Roman" w:eastAsia="Times New Roman"/>
                <w:b w:val="false"/>
                <w:sz w:val="26"/>
              </w:rPr>
              <w:t>15/2026/NĐ-CP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quân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2026-05-19T15:09:09Z</dcterms:created>
  <dc:creator>Apache POI</dc:creator>
</cp:coreProperties>
</file>