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hợp quy dịch vụ bưu chính công 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được chỉ định gửi hồ sơ công bố hợp quy đến Bộ Thông tin và Truyền thông</w:t>
      </w:r>
    </w:p>
    <w:p>
      <w:pPr>
        <w:spacing w:after="0" w:before="0" w:lineRule="auto" w:line="276"/>
        <w:jc w:val="both"/>
      </w:pPr>
      <w:r>
        <w:rPr>
          <w:rFonts w:ascii="Times New Roman" w:hAnsi="Times New Roman" w:cs="Times New Roman" w:eastAsia="Times New Roman"/>
          <w:b w:val="false"/>
          <w:sz w:val="26"/>
        </w:rPr>
        <w:t>Sau khi hồ sơ được chấp thuận, doanh nghiệp được chỉ định sẽ được cấp “Thông báo tiếp nhận bản công bố hợp quy”.</w:t>
      </w:r>
    </w:p>
    <w:p>
      <w:pPr>
        <w:spacing w:after="0" w:before="0" w:lineRule="auto" w:line="276"/>
        <w:jc w:val="both"/>
      </w:pPr>
      <w:r>
        <w:rPr>
          <w:rFonts w:ascii="Times New Roman" w:hAnsi="Times New Roman" w:cs="Times New Roman" w:eastAsia="Times New Roman"/>
          <w:b w:val="false"/>
          <w:sz w:val="26"/>
        </w:rPr>
        <w:t>Trường hợp hồ sơ không được chấp thuận, Bộ Thông tin và Truyền thông có văn bản trả lời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năm (05) ngày làm việc kể từ khi hồ sơ được chấp thuận, Bộ Thông tin và Truyền thông cấp “Thông báo tiếp nhận bản công bố hợp quy” cho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năm (05) ngày làm việc kể từ khi hồ sơ được chấp thuận, Bộ Thông tin và Truyền thông cấp “Thông báo tiếp nhận bản công bố hợp quy”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năm (05) ngày làm việc kể từ khi hồ sơ được chấp thuận, Bộ Thông tin và Truyền thông cấp “Thông báo tiếp nhận bản công bố hợp quy”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tự đánh giá dựa trên kết quả tự thực hiện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Bưu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bản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49/2010/QH12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14/2018/TT-BTTTT</w:t>
            </w:r>
          </w:p>
        </w:tc>
        <w:tc>
          <w:p/>
          <w:p>
            <w:pPr>
              <w:spacing w:after="0" w:before="0" w:lineRule="auto" w:line="276"/>
              <w:jc w:val="left"/>
            </w:pPr>
            <w:r>
              <w:rPr>
                <w:rFonts w:ascii="Times New Roman" w:hAnsi="Times New Roman" w:cs="Times New Roman" w:eastAsia="Times New Roman"/>
                <w:b w:val="false"/>
                <w:sz w:val="26"/>
              </w:rPr>
              <w:t>Thông tư 14/2018/TT-BTTTT</w:t>
            </w:r>
          </w:p>
        </w:tc>
        <w:tc>
          <w:p/>
          <w:p>
            <w:pPr>
              <w:spacing w:after="0" w:before="0" w:lineRule="auto" w:line="276"/>
              <w:jc w:val="left"/>
            </w:pPr>
            <w:r>
              <w:rPr>
                <w:rFonts w:ascii="Times New Roman" w:hAnsi="Times New Roman" w:cs="Times New Roman" w:eastAsia="Times New Roman"/>
                <w:b w:val="false"/>
                <w:sz w:val="26"/>
              </w:rPr>
              <w:t>15-10-2018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mười (10) ngày làm việc kể từ ngày:
- Bộ Thông tin và Truyền thông thay đổi quy chuẩn;
- Doanh nghiệp có bất kỳ sự thay đổi nào về nội dung đã công bố trước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2026-05-26T19:14:16Z</dcterms:created>
  <dc:creator>Apache POI</dc:creator>
</cp:coreProperties>
</file>