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Tính tiền cấp quyền khai thác tài nguyên nước đối với công trình đã vận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hồ sơ tính tiền cấp quyền khai thác tài nguyên nước đồng thời với việc nộp hồ sơ đề nghị cấp, gia hạn, điều chỉnh giấy phép khai thác tài nguyên nước.
- Bước 2: Kiểm tra, thẩm định hồ sơ: 
Việc kiểm tra, thẩm định hồ sơ tính tiền cấp quyền khai thác tài nguyên nước được thực hiện đồng thời với việc kiểm tra, thẩm định hồ sơ đề nghị cấp, gia hạn, điều chỉnh giấy phép khai thác tài nguyên nước.
- Bước 3: Phê duyệt tiền cấp quyền khai thác tài nguyên nước: 
Cục Quản lý tài nguyên nước có trách nhiệm trình Bộ Nông nghiệp và Môi trường dự thảo Quyết định phê duyệt tiền cấp quyền khai thác tài nguyên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quy định.)</w:t>
            </w:r>
          </w:p>
        </w:tc>
        <w:tc>
          <w:p/>
          <w:p>
            <w:pPr>
              <w:spacing w:after="0" w:before="0" w:lineRule="auto" w:line="276"/>
              <w:jc w:val="left"/>
            </w:pPr>
            <w:r>
              <w:rPr>
                <w:rFonts w:ascii="Times New Roman" w:hAnsi="Times New Roman" w:cs="Times New Roman" w:eastAsia="Times New Roman"/>
                <w:b w:val="false"/>
                <w:sz w:val="26"/>
              </w:rPr>
              <w:t>Theo thời gian giải quyết của hồ sơ đề nghị cấp, gia hạn, điều chỉnh giấy phép khai thác tài nguyên nước, cụ thể:
- 45 ngày (trường hợp nộp cùng với hồ sơ đề nghị cấp giấy phép khai thác tài nguyên nước); 
- 38 ngày (trường hợp nộp cùng hồ sơ đề nghị gia hạn, điều chỉnh giấy phép khai thác tài nguyên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quy định.)</w:t>
            </w:r>
          </w:p>
        </w:tc>
        <w:tc>
          <w:p/>
          <w:p>
            <w:pPr>
              <w:spacing w:after="0" w:before="0" w:lineRule="auto" w:line="276"/>
              <w:jc w:val="left"/>
            </w:pPr>
            <w:r>
              <w:rPr>
                <w:rFonts w:ascii="Times New Roman" w:hAnsi="Times New Roman" w:cs="Times New Roman" w:eastAsia="Times New Roman"/>
                <w:b w:val="false"/>
                <w:sz w:val="26"/>
              </w:rPr>
              <w:t>Theo thời gian giải quyết của hồ sơ đề nghị cấp, gia hạn, điều chỉnh giấy phép khai thác tài nguyên nước, cụ thể:
- 45 ngày (trường hợp nộp cùng với hồ sơ đề nghị cấp giấy phép khai thác tài nguyên nước); 
- 38 ngày (trường hợp nộp cùng hồ sơ đề nghị gia hạn, điều chỉnh giấy phép khai thác tài nguyên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quy định.)</w:t>
            </w:r>
          </w:p>
        </w:tc>
        <w:tc>
          <w:p/>
          <w:p>
            <w:pPr>
              <w:spacing w:after="0" w:before="0" w:lineRule="auto" w:line="276"/>
              <w:jc w:val="left"/>
            </w:pPr>
            <w:r>
              <w:rPr>
                <w:rFonts w:ascii="Times New Roman" w:hAnsi="Times New Roman" w:cs="Times New Roman" w:eastAsia="Times New Roman"/>
                <w:b w:val="false"/>
                <w:sz w:val="26"/>
              </w:rPr>
              <w:t>Theo thời gian giải quyết của hồ sơ đề nghị cấp, gia hạn, điều chỉnh giấy phép khai thác tài nguyên nước, cụ thể:
- 45 ngày (trường hợp nộp cùng với hồ sơ đề nghị cấp giấy phép khai thác tài nguyên nước); 
- 38 ngày (trường hợp nộp cùng hồ sơ đề nghị gia hạn, điều chỉnh giấy phép khai thác tài nguyên nước)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kê khai tính tiền cấp quyền khai thác tài nguyên nước Mẫu 57, Phụ lục III Nghị định số 54/2024/NĐ-CP</w:t>
            </w:r>
          </w:p>
        </w:tc>
        <w:tc>
          <w:p/>
          <w:p>
            <w:pPr>
              <w:spacing w:after="0" w:before="0" w:lineRule="auto" w:line="276"/>
              <w:jc w:val="left"/>
            </w:pPr>
            <w:r>
              <w:rPr>
                <w:rFonts w:ascii="Times New Roman" w:hAnsi="Times New Roman" w:cs="Times New Roman" w:eastAsia="Times New Roman"/>
                <w:b w:val="false"/>
                <w:sz w:val="26"/>
              </w:rPr>
              <w:t>Mẫu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giấy tờ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Tiếp nhận và Trả kết quả giải quyết thủ tục hành chính của Bộ (gọi tắt là Văn phòng một cửa), số 10 Tôn Thất Thuyết,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thủ tục Tính tiền cấp quyền khai thác tài nguyên nước đối với công trình đã vận hành theo Mẫu 58 tại Phụ lục III kèm theo Nghị định số 54/2024/NĐ-CP.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2026-05-19T13:39:40Z</dcterms:created>
  <dc:creator>Apache POI</dc:creator>
</cp:coreProperties>
</file>