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bán lẻ thuốc thuộc Danh mục thuốc hạn chế bán lẻ đối với cơ sở đã được cấp 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bán lẻ thuốc nộp hồ sơ tại Sở Y tế nơi cơ sở đặt trụ sở.</w:t>
      </w:r>
    </w:p>
    <w:p>
      <w:pPr>
        <w:spacing w:after="0" w:before="0" w:lineRule="auto" w:line="276"/>
        <w:jc w:val="both"/>
      </w:pPr>
      <w:r>
        <w:rPr>
          <w:rFonts w:ascii="Times New Roman" w:hAnsi="Times New Roman" w:cs="Times New Roman" w:eastAsia="Times New Roman"/>
          <w:b w:val="false"/>
          <w:sz w:val="26"/>
        </w:rPr>
        <w:t>Bước 2: Khi nhận hồ sơ đầy đủ, hợp lệ, Sở Y tế cấp cho cơ sở đề nghị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Trường hợp không có yêu cầu sửa đổi, bổ sung hồ sơ, Sở Y tế có văn bản cho phép cơ sở bán lẻ thuốc thuộc Danh mục thuốc hạn chế bán lẻ trong vòng 07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Trường hợp có yêu cầu sửa đổi, bổ sung hồ sơ, Sở Y tế có văn bản yêu cầu sửa đổi, bổ sung hồ sơ trong thời hạn 05 ngày kể từ ngày ghi trên Phiếu tiếp nhận hồ sơ,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Trong thời hạn 06 tháng, kể từ ngày Sở Y tế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Bước 3:Trong thời hạn 05 ngày làm việc, kể từ ngày ra văn bản cho phép cơ sở bán lẻ thuốc, Sở Y tế có trách nhiệm công khai trên cổng thông tin điện tử của Sở Y tế:</w:t>
      </w:r>
    </w:p>
    <w:p>
      <w:pPr>
        <w:spacing w:after="0" w:before="0" w:lineRule="auto" w:line="276"/>
        <w:jc w:val="both"/>
      </w:pPr>
      <w:r>
        <w:rPr>
          <w:rFonts w:ascii="Times New Roman" w:hAnsi="Times New Roman" w:cs="Times New Roman" w:eastAsia="Times New Roman"/>
          <w:b w:val="false"/>
          <w:sz w:val="26"/>
        </w:rPr>
        <w:t>a) Thông tin về cơ sở bán lẻ;</w:t>
      </w:r>
    </w:p>
    <w:p>
      <w:pPr>
        <w:spacing w:after="0" w:before="0" w:lineRule="auto" w:line="276"/>
        <w:jc w:val="both"/>
      </w:pPr>
      <w:r>
        <w:rPr>
          <w:rFonts w:ascii="Times New Roman" w:hAnsi="Times New Roman" w:cs="Times New Roman" w:eastAsia="Times New Roman"/>
          <w:b w:val="false"/>
          <w:sz w:val="26"/>
        </w:rPr>
        <w:t xml:space="preserve">b) Danh mục thuốc được bán lẻ.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07 ngày làm việc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07 ngày làm việc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bán lẻ thuốc thuộc Danh mục thuốc hạn chế bán lẻ theo Mẫu số 23 Phụ lục II của Nghị định 54/2017/NĐ-CP;</w:t>
            </w:r>
          </w:p>
        </w:tc>
        <w:tc>
          <w:p/>
          <w:p>
            <w:pPr>
              <w:spacing w:after="0" w:before="0" w:lineRule="auto" w:line="276"/>
              <w:jc w:val="left"/>
            </w:pPr>
            <w:r>
              <w:rPr>
                <w:rFonts w:ascii="Times New Roman" w:hAnsi="Times New Roman" w:cs="Times New Roman" w:eastAsia="Times New Roman"/>
                <w:b w:val="false"/>
                <w:sz w:val="26"/>
              </w:rPr>
              <w:t>mẫu đơn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Sở có giấy chứng nhận đủ điều kiện bán lẻ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2026-05-22T15:38:01Z</dcterms:created>
  <dc:creator>Apache POI</dc:creator>
</cp:coreProperties>
</file>