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văn bản xác nhận thông báo hoạt động bưu chính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Bưu chính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tổ chức hoàn thiện hồ sơ đề nghị cấp văn bản xác nhận thông báo hoạt động bưu chính theo quy định và nộp hồ sơ về Sở Khoa học và Công nghệ.
- Trong thời hạn 03 ngày làm việc kể từ ngày nhận được hồ sơ, Sở Khoa học và Công nghệ từ chối cấp văn bản xác nhận thông báo hoạt động bưu chính đối với trường hợp không đúng thẩm quyền và nêu rõ lý do.
- Trong thời hạn 10 ngày làm việc, Sở Khoa học và Công nghệ thực hiện cấp văn bản xác nhận thông báo hoạt động bưu chính đối với trường hợp hồ sơ đã đầy đủ, đúng quy định, trường hợp hồ sơ chưa đáp ứng quy định thì Sở Khoa học và Công nghệ thông báo cho doanh nghiệp, tổ chức thực hiện sửa đổi, bổ sung.
- Trong thời hạn 15 ngày làm việc kể từ ngày thông báo, doanh nghiệp, tổ chức có trách nhiệm sửa đổi, bổ sung hồ sơ theo yêu cầu. 
Trường hợp doanh nghiệp, tổ chức không sửa đổi, bổ sung hồ sơ theo yêu cầu hoặc có sửa đổi, bổ sung nhưng chưa đạt yêu cầu, Sở Khoa học và Công nghệ thông báo từ chối cấp giấy phép bưu chính, văn bản xác nhận thông báo hoạt động bưu chính và nêu rõ lý do.
- Các thông báo của Sở Khoa học và Công nghệ được thực hiện bằng văn bản qua hệ thống dịch vụ công trực tuyến.
- Kết quả giải quyết thủ tục cấp giấy phép bưu chính, văn bản xác nhận thông báo hoạt động bưu chính được trả trực tiếp hoặc qua dịch vụ bưu chính công ích.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(Trường hợp với chi nhánh, văn phòng đại diện của doanh nghiệp cung ứng dịch vụ bưu chính được thành lập theo pháp luật Việt Nam)</w:t>
              <w:br/>
              <w:t>File đính kèm: 25-btc.signed.pdf</w:t>
            </w:r>
          </w:p>
          <w:p>
            <w:pPr>
              <w:spacing w:after="0" w:before="0" w:lineRule="auto" w:line="276"/>
              <w:jc w:val="left"/>
            </w:pPr>
            <w:r>
              <w:rPr>
                <w:rFonts w:ascii="Times New Roman" w:hAnsi="Times New Roman" w:cs="Times New Roman" w:eastAsia="Times New Roman"/>
                <w:b w:val="false"/>
                <w:sz w:val="26"/>
              </w:rPr>
              <w:t>Phí : 1.250.000 Đồng</w:t>
              <w:t xml:space="preserve"> (Trường hợp tự cung ứng dịch vụ phạm vi nội tỉnh)</w:t>
              <w:br/>
              <w:t>File đính kèm: 25-btc.signed.pdf</w:t>
            </w:r>
          </w:p>
          <w:p>
            <w:pPr>
              <w:spacing w:after="0" w:before="0" w:lineRule="auto" w:line="276"/>
              <w:jc w:val="left"/>
            </w:pPr>
            <w:r>
              <w:rPr>
                <w:rFonts w:ascii="Times New Roman" w:hAnsi="Times New Roman" w:cs="Times New Roman" w:eastAsia="Times New Roman"/>
                <w:b w:val="false"/>
                <w:sz w:val="26"/>
              </w:rPr>
              <w:t>Phí : 1.250.000 Đồng</w:t>
              <w:t xml:space="preserve"> (Trường hợp chuyển nhượng toàn bộ doanh nghiệp do mua bán, sáp nhập doanh nghiệp)</w:t>
              <w:br/>
              <w:t>File đính kèm: 25-btc.signed.pdf</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(Trường hợp với chi nhánh, văn phòng đại diện của doanh nghiệp cung ứng dịch vụ bưu chính được thành lập theo pháp luật Việt Nam)</w:t>
              <w:br/>
              <w:t>File đính kèm: 25-btc.signed.pdf</w:t>
            </w:r>
          </w:p>
          <w:p>
            <w:pPr>
              <w:spacing w:after="0" w:before="0" w:lineRule="auto" w:line="276"/>
              <w:jc w:val="left"/>
            </w:pPr>
            <w:r>
              <w:rPr>
                <w:rFonts w:ascii="Times New Roman" w:hAnsi="Times New Roman" w:cs="Times New Roman" w:eastAsia="Times New Roman"/>
                <w:b w:val="false"/>
                <w:sz w:val="26"/>
              </w:rPr>
              <w:t>Phí : 1.250.000 Đồng</w:t>
              <w:t xml:space="preserve"> (Trường hợp tự cung ứng dịch vụ phạm vi nội tỉnh)</w:t>
              <w:br/>
              <w:t>File đính kèm: 25-btc.signed.pdf</w:t>
            </w:r>
          </w:p>
          <w:p>
            <w:pPr>
              <w:spacing w:after="0" w:before="0" w:lineRule="auto" w:line="276"/>
              <w:jc w:val="left"/>
            </w:pPr>
            <w:r>
              <w:rPr>
                <w:rFonts w:ascii="Times New Roman" w:hAnsi="Times New Roman" w:cs="Times New Roman" w:eastAsia="Times New Roman"/>
                <w:b w:val="false"/>
                <w:sz w:val="26"/>
              </w:rPr>
              <w:t>Phí : 1.250.000 Đồng</w:t>
              <w:t xml:space="preserve"> (Trường hợp chuyển nhượng toàn bộ doanh nghiệp do mua bán, sáp nhập doanh nghiệp)</w:t>
              <w:br/>
              <w:t>File đính kèm: 25-btc.signed.pdf</w:t>
            </w:r>
          </w:p>
        </w:tc>
        <w:tc>
          <w:p/>
          <w:p>
            <w:pPr>
              <w:spacing w:after="0" w:before="0" w:lineRule="auto" w:line="276"/>
              <w:jc w:val="left"/>
            </w:pPr>
            <w:r>
              <w:rPr>
                <w:rFonts w:ascii="Times New Roman" w:hAnsi="Times New Roman" w:cs="Times New Roman" w:eastAsia="Times New Roman"/>
                <w:b w:val="false"/>
                <w:sz w:val="26"/>
              </w:rPr>
              <w:t>Nộp trực tuyến qua cổng dịch vụ công: Cổng dịch vụ công của Sở Thông tin và Truyền thông hoặc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(Trường hợp với chi nhánh, văn phòng đại diện của doanh nghiệp cung ứng dịch vụ bưu chính được thành lập theo pháp luật Việt Nam)</w:t>
              <w:br/>
              <w:t>File đính kèm: 25-btc.signed.pdf</w:t>
            </w:r>
          </w:p>
          <w:p>
            <w:pPr>
              <w:spacing w:after="0" w:before="0" w:lineRule="auto" w:line="276"/>
              <w:jc w:val="left"/>
            </w:pPr>
            <w:r>
              <w:rPr>
                <w:rFonts w:ascii="Times New Roman" w:hAnsi="Times New Roman" w:cs="Times New Roman" w:eastAsia="Times New Roman"/>
                <w:b w:val="false"/>
                <w:sz w:val="26"/>
              </w:rPr>
              <w:t>Phí : 1.250.000 Đồng</w:t>
              <w:t xml:space="preserve"> (Trường hợp tự cung ứng dịch vụ phạm vi nội tỉnh)</w:t>
              <w:br/>
              <w:t>File đính kèm: 25-btc.signed.pdf</w:t>
            </w:r>
          </w:p>
          <w:p>
            <w:pPr>
              <w:spacing w:after="0" w:before="0" w:lineRule="auto" w:line="276"/>
              <w:jc w:val="left"/>
            </w:pPr>
            <w:r>
              <w:rPr>
                <w:rFonts w:ascii="Times New Roman" w:hAnsi="Times New Roman" w:cs="Times New Roman" w:eastAsia="Times New Roman"/>
                <w:b w:val="false"/>
                <w:sz w:val="26"/>
              </w:rPr>
              <w:t>Phí : 1.250.000 Đồng</w:t>
              <w:t xml:space="preserve"> (Trường hợp chuyển nhượng toàn bộ doanh nghiệp do mua bán, sáp nhập doanh nghiệp)</w:t>
              <w:br/>
              <w:t>File đính kèm: 25-btc.signed.pdf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đề nghị xác nhận thông báo hoạt động bưu chính đối với trường hợp tự cung ứng dịch vụ: Cung ứng dịch vụ thư không có địa chỉ nhận có khối lượng đơn chiếc đến 02 kg, cung ứng dịch vụ thư có khối lượng đơn chiếc trên 02 kg và cung ứng dịch vụ gói, kiện hàng hóa gồm: + Văn bản thông báo hoạt động bưu chính; + Bản sao giấy chứng nhận đăng ký doanh nghiệp + Mẫu hợp đồng cung ứng và sử dụng dịch vụ bưu chính phù hợp với quy định của pháp luật về bưu chính; + Mẫu biểu trưng, nhãn hiệu, ký hiệu đặc thù hoặc các yếu tố thuộc hệ thống nhận diện của doanh nghiệp được thể hiện trên bưu gửi (nếu có); + Bảng giá cước dịch vụ bưu chính phù hợp với quy định của pháp luật về bưu chính; + Tiêu chuẩn chất lượng dịch vụ bưu chính công bố áp dụng phù hợp với quy định của pháp luật về bưu chính; + Quy định về mức giới hạn trách nhiệm bồi thường thiệt hại trong trường hợp phát sinh thiệt hại, quy trình giải quyết khiếu nại của khách hàng, thời hạn giải quyết khiếu nại phù hợp với quy định của pháp luật về bưu chính; + Hợp đồng nhượng quyền thương mại với doanh nghiệp đang cung ứng dịch vụ bưu chính (nếu có). + Các biện pháp bảo đảm an toàn đối với con người, bưu gửi, mạng bưu chính và an ninh thông tin trong hoạt động bưu chính;</w:t>
            </w:r>
          </w:p>
        </w:tc>
        <w:tc>
          <w:p/>
          <w:p>
            <w:pPr>
              <w:spacing w:after="0" w:before="0" w:lineRule="auto" w:line="276"/>
              <w:jc w:val="left"/>
            </w:pPr>
            <w:r>
              <w:rPr>
                <w:rFonts w:ascii="Times New Roman" w:hAnsi="Times New Roman" w:cs="Times New Roman" w:eastAsia="Times New Roman"/>
                <w:b w:val="false"/>
                <w:sz w:val="26"/>
              </w:rPr>
              <w:t>Van ban thong bao hoat dong buu chính.docx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đề nghị xác nhận thông báo hoạt động bưu chính đối với các trường hợp làm chi nhánh, văn phòng đại diện của doanh nghiệp cung ứng dịch vụ bưu chính được thành lập theo pháp luật Việt Nam. + Văn bản thông báo hoạt động bưu chính; + Bản sao giấy phép thành lập do cơ quan nhà nước có thẩm quyền cấp được doanh nghiệp tự đóng dấu xác nhận và chịu trách nhiệm về tính chính xác của bản sao.</w:t>
            </w:r>
          </w:p>
        </w:tc>
        <w:tc>
          <w:p/>
          <w:p>
            <w:pPr>
              <w:spacing w:after="0" w:before="0" w:lineRule="auto" w:line="276"/>
              <w:jc w:val="left"/>
            </w:pPr>
            <w:r>
              <w:rPr>
                <w:rFonts w:ascii="Times New Roman" w:hAnsi="Times New Roman" w:cs="Times New Roman" w:eastAsia="Times New Roman"/>
                <w:b w:val="false"/>
                <w:sz w:val="26"/>
              </w:rPr>
              <w:t>Van ban thong bao hoat dong buu chính.docx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Số lượng hồ sơ: 01 bộ là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tuyến qua cổng dịch vụ công: Cổng dịch vụ công của Sở Khoa học và Công nghệ hoặc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thông báo hoạt động bưu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49/2010/QH12</w:t>
            </w:r>
          </w:p>
        </w:tc>
        <w:tc>
          <w:p/>
          <w:p>
            <w:pPr>
              <w:spacing w:after="0" w:before="0" w:lineRule="auto" w:line="276"/>
              <w:jc w:val="left"/>
            </w:pPr>
            <w:r>
              <w:rPr>
                <w:rFonts w:ascii="Times New Roman" w:hAnsi="Times New Roman" w:cs="Times New Roman" w:eastAsia="Times New Roman"/>
                <w:b w:val="false"/>
                <w:sz w:val="26"/>
              </w:rPr>
              <w:t>Luật 49/2010/QH12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47/2011/NĐ-CP</w:t>
            </w:r>
          </w:p>
        </w:tc>
        <w:tc>
          <w:p/>
          <w:p>
            <w:pPr>
              <w:spacing w:after="0" w:before="0" w:lineRule="auto" w:line="276"/>
              <w:jc w:val="left"/>
            </w:pPr>
            <w:r>
              <w:rPr>
                <w:rFonts w:ascii="Times New Roman" w:hAnsi="Times New Roman" w:cs="Times New Roman" w:eastAsia="Times New Roman"/>
                <w:b w:val="false"/>
                <w:sz w:val="26"/>
              </w:rPr>
              <w:t>Nghị định 47/2011/NĐ-CP</w:t>
            </w:r>
          </w:p>
        </w:tc>
        <w:tc>
          <w:p/>
          <w:p>
            <w:pPr>
              <w:spacing w:after="0" w:before="0" w:lineRule="auto" w:line="276"/>
              <w:jc w:val="left"/>
            </w:pPr>
            <w:r>
              <w:rPr>
                <w:rFonts w:ascii="Times New Roman" w:hAnsi="Times New Roman" w:cs="Times New Roman" w:eastAsia="Times New Roman"/>
                <w:b w:val="false"/>
                <w:sz w:val="26"/>
              </w:rPr>
              <w:t>17-06-2011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291/2016/TT-BTC</w:t>
            </w:r>
          </w:p>
        </w:tc>
        <w:tc>
          <w:p/>
          <w:p>
            <w:pPr>
              <w:spacing w:after="0" w:before="0" w:lineRule="auto" w:line="276"/>
              <w:jc w:val="left"/>
            </w:pPr>
            <w:r>
              <w:rPr>
                <w:rFonts w:ascii="Times New Roman" w:hAnsi="Times New Roman" w:cs="Times New Roman" w:eastAsia="Times New Roman"/>
                <w:b w:val="false"/>
                <w:sz w:val="26"/>
              </w:rPr>
              <w:t>Thông tư 291/2016/TT-BTC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25/2020/TT-BTC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219/2016-TT-BTC ngày 15/11/2016 quy định mức thu, chế độ thu, nộp, quản lý phí thẩm định điều kiện hoạt động bưu chính</w:t>
            </w:r>
          </w:p>
        </w:tc>
        <w:tc>
          <w:p/>
          <w:p>
            <w:pPr>
              <w:spacing w:after="0" w:before="0" w:lineRule="auto" w:line="276"/>
              <w:jc w:val="left"/>
            </w:pPr>
            <w:r>
              <w:rPr>
                <w:rFonts w:ascii="Times New Roman" w:hAnsi="Times New Roman" w:cs="Times New Roman" w:eastAsia="Times New Roman"/>
                <w:b w:val="false"/>
                <w:sz w:val="26"/>
              </w:rPr>
              <w:t>04-04-2020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25/2022/NĐ-CP</w:t>
            </w:r>
          </w:p>
        </w:tc>
        <w:tc>
          <w:p/>
          <w:p>
            <w:pPr>
              <w:spacing w:after="0" w:before="0" w:lineRule="auto" w:line="276"/>
              <w:jc w:val="left"/>
            </w:pPr>
            <w:r>
              <w:rPr>
                <w:rFonts w:ascii="Times New Roman" w:hAnsi="Times New Roman" w:cs="Times New Roman" w:eastAsia="Times New Roman"/>
                <w:b w:val="false"/>
                <w:sz w:val="26"/>
              </w:rPr>
              <w:t>Nghị định 25/2022/NĐ-CP</w:t>
            </w:r>
          </w:p>
        </w:tc>
        <w:tc>
          <w:p/>
          <w:p>
            <w:pPr>
              <w:spacing w:after="0" w:before="0" w:lineRule="auto" w:line="276"/>
              <w:jc w:val="left"/>
            </w:pPr>
            <w:r>
              <w:rPr>
                <w:rFonts w:ascii="Times New Roman" w:hAnsi="Times New Roman" w:cs="Times New Roman" w:eastAsia="Times New Roman"/>
                <w:b w:val="false"/>
                <w:sz w:val="26"/>
              </w:rPr>
              <w:t>12-04-2022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thông báo hoạt động bưu chính được thực hiện chậm nhất là 07 ngày làm việc, kể từ ngày đầu tiên hoạt động bưu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Thông tư số 25/2020/TT-BTC ngày 14/4/2020 của Bộ Tài chính sửa đổi, bổ sung một số điều của Thông tư số 291/2016/TT-BTC ngày 15/11/2016 quy định mức thu, chế độ thu, nộp, quản lý và sử dụng phí thẩm định điều kiện hoạt động bưu chính.</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2026-05-25T08:03:59Z</dcterms:created>
  <dc:creator>Apache POI</dc:creator>
</cp:coreProperties>
</file>