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3277/QĐ-BGDĐT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nhóm trẻ, lớp mẫu giáo độc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a) Tổ chức, cá nhân gửi trực tiếp hoặc qua bưu điện 01 bộ hồ sơ đến Ủy ban nhân dân cấp xã. Trong thời hạn 05 ngày làm việc, kể từ ngày nhận đủ hồ sơ hợp lệ, Ủy ban nhân dân cấp xã có văn bản gửi Phòng Giáo dục và Đào tạo đề nghị kiểm tra các điều kiện sáp nhập, chia, tách nhóm trẻ, lớp mẫu giáo độc lập;</w:t>
      </w:r>
    </w:p>
    <w:p>
      <w:pPr>
        <w:spacing w:after="0" w:before="0" w:lineRule="auto" w:line="276"/>
        <w:jc w:val="both"/>
      </w:pPr>
      <w:r>
        <w:rPr>
          <w:rFonts w:ascii="Times New Roman" w:hAnsi="Times New Roman" w:cs="Times New Roman" w:eastAsia="Times New Roman"/>
          <w:b w:val="false"/>
          <w:sz w:val="26"/>
        </w:rPr>
        <w:t xml:space="preserve"> b) Trong thời hạn 10 ngày làm việc, Phòng Giáo dục và Đào tạo xem xét, kiểm tra trên thực tế, nếu thấy đủ điều kiện, Phòng Giáo dục và Đào tạo có ý kiến bằng văn bản gửi Ủy ban nhân dân cấp xã;</w:t>
      </w:r>
    </w:p>
    <w:p>
      <w:pPr>
        <w:spacing w:after="0" w:before="0" w:lineRule="auto" w:line="276"/>
        <w:jc w:val="both"/>
      </w:pPr>
      <w:r>
        <w:rPr>
          <w:rFonts w:ascii="Times New Roman" w:hAnsi="Times New Roman" w:cs="Times New Roman" w:eastAsia="Times New Roman"/>
          <w:b w:val="false"/>
          <w:sz w:val="26"/>
        </w:rPr>
        <w:t xml:space="preserve"> c) Trong thời hạn 05 ngày làm việc, kể từ ngày nhận được văn bản trả lời của Phòng Giáo dục và Đào tạo, Chủ tịch Ủy ban nhân dân cấp xã quyết định sáp nhập, chia, tách. Nếu không sáp nhập, chia, tách nhóm trẻ, lớp mẫu giáo độc lập thì có văn bản thông báo đến Phòng Giáo dục và Đào tạo và tổ chức, cá nhân nộp hồ sơ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nhóm trẻ, lớp mẫu giáo độc lập, trong đó có phương án để bảo đảm quyền, lợi ích hợp pháp của trẻ em, giáo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văn bằng, chứng chỉ của giáo viên hoặc người chăm sóc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Trưởng phòng giáo dục và đào tạo cấp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2026-05-13T18:17:27Z</dcterms:created>
  <dc:creator>Apache POI</dc:creator>
</cp:coreProperties>
</file>