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2.000197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688A/QĐ-BCT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sửa đổi, bổ sung Giấy chứng nhận đủ điều kiện đầu tư trồng cây thuốc lá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kinh doanh thuốc lá nộp 01 bộ hồ sơ xin đề nghị sửa đổi, bổ sung Giấy chứng nhận đủ điều kiện đầu tư trồng cây thuốc lá cho Sở Công Thương
- Trong thời hạn 15 ngày làm việc kể từ ngày nhận đủ hồ sơ hợp lệ, Sở Công Thương xem xét và cấp sửa đổi, bổ sung Giấy chứng nhận đủ điều kiện đầu tư trồng cây thuốc lá. Trường hợp tổ chức, cá nhân không đáp ứng được điều kiện theo quy định Sở Công Thương sẽ có văn bản trả lời từ chối cấp phép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Phí thẩm định: 2.200.000 đồng/lần thẩm định/hồ sơ </w:t>
              <w:t xml:space="preserve"> (Thông tư số 299/2016/TT-BTC ngày 15/11/2016 của Bộ Tài chính quy định mức thu, chế độ thu, nộp, quản lý và sử dụng phí thẩm định điều kiện kinh doanh để cấp Giấy phép sản xuất rượu, Giấy phép sản xuất thuốc lá.)</w:t>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Phí Thẩm định: 2.200.000 đồng/lần thẩm định/hồ sơ </w:t>
              <w:t xml:space="preserve"> (Thông tư số 299/2016/TT-BTC ngày 15/11/2016 của Bộ Tài chính quy định mức thu, chế độ thu, nộp, quản lý và sử dụng phí thẩm định điều kiện kinh doanh để cấp Giấy phép sản xuất rượu, Giấy phép sản xuất thuốc lá.)</w:t>
            </w:r>
          </w:p>
        </w:tc>
        <w:tc>
          <w:p/>
          <w:p>
            <w:pPr>
              <w:spacing w:after="0" w:before="0" w:lineRule="auto" w:line="276"/>
              <w:jc w:val="left"/>
            </w:pPr>
            <w:r>
              <w:rPr>
                <w:rFonts w:ascii="Times New Roman" w:hAnsi="Times New Roman" w:cs="Times New Roman" w:eastAsia="Times New Roman"/>
                <w:b w:val="false"/>
                <w:sz w:val="26"/>
              </w:rPr>
              <w:t>15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Phí thẩm định: 2.200.000 đồng/lần thẩm định/hồ sơ </w:t>
              <w:t xml:space="preserve"> (Thông tư số 299/2016/TT-BTC ngày 15/11/2016 của Bộ Tài chính quy định mức thu, chế độ thu, nộp, quản lý và sử dụng phí thẩm định điều kiện kinh doanh để cấp Giấy phép sản xuất rượu, Giấy phép sản xuất thuốc lá.)</w:t>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sửa đổi, bổ sung Giấy chứng nhận đủ điều kiện đầu tư trồng cây thuốc lá (Bản chính - theo mẫu phụ lục 26 Thông tư số 57/2018/TT-BCT);</w:t>
            </w:r>
          </w:p>
        </w:tc>
        <w:tc>
          <w:p/>
          <w:p>
            <w:pPr>
              <w:spacing w:after="0" w:before="0" w:lineRule="auto" w:line="276"/>
              <w:jc w:val="left"/>
            </w:pPr>
            <w:r>
              <w:rPr>
                <w:rFonts w:ascii="Times New Roman" w:hAnsi="Times New Roman" w:cs="Times New Roman" w:eastAsia="Times New Roman"/>
                <w:b w:val="false"/>
                <w:sz w:val="26"/>
              </w:rPr>
              <w:t>Phụ lục 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đủ điều kiện đầu tư trồng cây thuốc lá;</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tài liệu chứng minh nhu cầu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đầu tư trồng cây thuốc lá (cấp sửa đổi, bổ sung)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67/2013/NĐ-CP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27-06-2013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08/2018/NĐ-CP</w:t>
            </w:r>
          </w:p>
        </w:tc>
        <w:tc>
          <w:p/>
          <w:p>
            <w:pPr>
              <w:spacing w:after="0" w:before="0" w:lineRule="auto" w:line="276"/>
              <w:jc w:val="left"/>
            </w:pPr>
            <w:r>
              <w:rPr>
                <w:rFonts w:ascii="Times New Roman" w:hAnsi="Times New Roman" w:cs="Times New Roman" w:eastAsia="Times New Roman"/>
                <w:b w:val="false"/>
                <w:sz w:val="26"/>
              </w:rPr>
              <w:t>Sửa đổi một số Nghị định liên quan đến điều kiện đầu tư kinh doanh thuộc phạm vi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106/2017/NĐ-CP</w:t>
            </w:r>
          </w:p>
        </w:tc>
        <w:tc>
          <w:p/>
          <w:p>
            <w:pPr>
              <w:spacing w:after="0" w:before="0" w:lineRule="auto" w:line="276"/>
              <w:jc w:val="left"/>
            </w:pPr>
            <w:r>
              <w:rPr>
                <w:rFonts w:ascii="Times New Roman" w:hAnsi="Times New Roman" w:cs="Times New Roman" w:eastAsia="Times New Roman"/>
                <w:b w:val="false"/>
                <w:sz w:val="26"/>
              </w:rPr>
              <w:t>Nghị định 106/2017/NĐ-CP</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57/2018/TT-BCT</w:t>
            </w:r>
          </w:p>
        </w:tc>
        <w:tc>
          <w:p/>
          <w:p>
            <w:pPr>
              <w:spacing w:after="0" w:before="0" w:lineRule="auto" w:line="276"/>
              <w:jc w:val="left"/>
            </w:pPr>
            <w:r>
              <w:rPr>
                <w:rFonts w:ascii="Times New Roman" w:hAnsi="Times New Roman" w:cs="Times New Roman" w:eastAsia="Times New Roman"/>
                <w:b w:val="false"/>
                <w:sz w:val="26"/>
              </w:rPr>
              <w:t>Thông tư 57/2018/TT-BCT</w:t>
            </w:r>
          </w:p>
        </w:tc>
        <w:tc>
          <w:p/>
          <w:p>
            <w:pPr>
              <w:spacing w:after="0" w:before="0" w:lineRule="auto" w:line="276"/>
              <w:jc w:val="left"/>
            </w:pPr>
            <w:r>
              <w:rPr>
                <w:rFonts w:ascii="Times New Roman" w:hAnsi="Times New Roman" w:cs="Times New Roman" w:eastAsia="Times New Roman"/>
                <w:b w:val="false"/>
                <w:sz w:val="26"/>
              </w:rPr>
              <w:t>28-12-2018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28/2019/TT-BCT</w:t>
            </w:r>
          </w:p>
        </w:tc>
        <w:tc>
          <w:p/>
          <w:p>
            <w:pPr>
              <w:spacing w:after="0" w:before="0" w:lineRule="auto" w:line="276"/>
              <w:jc w:val="left"/>
            </w:pPr>
            <w:r>
              <w:rPr>
                <w:rFonts w:ascii="Times New Roman" w:hAnsi="Times New Roman" w:cs="Times New Roman" w:eastAsia="Times New Roman"/>
                <w:b w:val="false"/>
                <w:sz w:val="26"/>
              </w:rPr>
              <w:t>Thông tư 28/2019/TT-BCT</w:t>
            </w:r>
          </w:p>
        </w:tc>
        <w:tc>
          <w:p/>
          <w:p>
            <w:pPr>
              <w:spacing w:after="0" w:before="0" w:lineRule="auto" w:line="276"/>
              <w:jc w:val="left"/>
            </w:pPr>
            <w:r>
              <w:rPr>
                <w:rFonts w:ascii="Times New Roman" w:hAnsi="Times New Roman" w:cs="Times New Roman" w:eastAsia="Times New Roman"/>
                <w:b w:val="false"/>
                <w:sz w:val="26"/>
              </w:rPr>
              <w:t>15-11-2019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đăng ký kinh doanh mặt hàng nguyên liệu thuốc lá;
- Có quy mô đầu tư trồng cây thuốc lá tại địa phương ít nhất 100 ha mỗi năm;
- Phải có hợp đồng đầu tư trồng cây thuốc lá với người trồng cây thuốc lá phù hợp với quy mô kinh doanh;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2026-05-24T16:04:50Z</dcterms:created>
  <dc:creator>Apache POI</dc:creator>
</cp:coreProperties>
</file>