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bán lẻ thuốc thuộc Danh mục thuốc hạn chế bán lẻ đối với cơ sở chưa được cấp 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cấp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30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 Tổ chức đánh giá thực tế tại cơ sở đề nghị cấp Giấy chứng nhận đủ điều kiện kinh doanh dược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b)Trường hợp có yêu cầu sửa đổi, bổ sung hồ sơ, trong thời hạn 10 ngày làm việc, kể từ ngày ghi trên Phiếu tiếp nhận hồ sơ, Sở Y tế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 Nghị định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cơ sở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10  ngày làm việc, kể từ ngày hoàn thành việc đánh giá thực tế đối với trường hợp không có yêu cầu, khắc phục, sửa chữa;</w:t>
      </w:r>
    </w:p>
    <w:p>
      <w:pPr>
        <w:spacing w:after="0" w:before="0" w:lineRule="auto" w:line="276"/>
        <w:jc w:val="both"/>
      </w:pPr>
      <w:r>
        <w:rPr>
          <w:rFonts w:ascii="Times New Roman" w:hAnsi="Times New Roman" w:cs="Times New Roman" w:eastAsia="Times New Roman"/>
          <w:b w:val="false"/>
          <w:sz w:val="26"/>
        </w:rPr>
        <w:t>- Ban hành văn bản thông báo về các nội dung cần khắc phục, sửa chữa trong thời hạn 05 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 xml:space="preserve"> Bước 5: Trong thời hạn 20 ngày, kể từ ngày nhận được văn bản thông báo và tài liệu chứng minh đã hoàn thành việc khắc phục, sửa chữa của cơ sở đề nghị, Sở Y tế cấp Giấy chứng nhận đủ điều kiện kinh doanh dược hoặc trả lời lý do chưa cấp.
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6: Trong thời hạn 05ngày làm việc, kể từ ngày cấp Giấy chứng nhận đủ điều kiện kinh doanh dược, Sở Y tế công bố, cập nhật trên Cổng thông tin điện tử của đơn vị các thông tin sau:</w:t>
      </w:r>
    </w:p>
    <w:p>
      <w:pPr>
        <w:spacing w:after="0" w:before="0" w:lineRule="auto" w:line="276"/>
        <w:jc w:val="both"/>
      </w:pPr>
      <w:r>
        <w:rPr>
          <w:rFonts w:ascii="Times New Roman" w:hAnsi="Times New Roman" w:cs="Times New Roman" w:eastAsia="Times New Roman"/>
          <w:b w:val="false"/>
          <w:sz w:val="26"/>
        </w:rPr>
        <w:t>a) Tên, địa chỉ cơ sở được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b) Họ tên người chịu trách nhiệm chuyên môn về dược, số Chứng chỉ hành nghề dược;</w:t>
      </w:r>
    </w:p>
    <w:p>
      <w:pPr>
        <w:spacing w:after="0" w:before="0" w:lineRule="auto" w:line="276"/>
        <w:jc w:val="both"/>
      </w:pPr>
      <w:r>
        <w:rPr>
          <w:rFonts w:ascii="Times New Roman" w:hAnsi="Times New Roman" w:cs="Times New Roman" w:eastAsia="Times New Roman"/>
          <w:b w:val="false"/>
          <w:sz w:val="26"/>
        </w:rPr>
        <w:t xml:space="preserve">c) Số Giấy chứng nhận đủ điều kiện kinh doanh dược.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bán lẻ thuốc thuộc Danh mục thuốc hạn chế bán lẻ theo Mẫu số 22 Phụ lục II của Nghị định 54/2017/NĐ-CP.</w:t>
            </w:r>
          </w:p>
        </w:tc>
        <w:tc>
          <w:p/>
          <w:p>
            <w:pPr>
              <w:spacing w:after="0" w:before="0" w:lineRule="auto" w:line="276"/>
              <w:jc w:val="left"/>
            </w:pPr>
            <w:r>
              <w:rPr>
                <w:rFonts w:ascii="Times New Roman" w:hAnsi="Times New Roman" w:cs="Times New Roman" w:eastAsia="Times New Roman"/>
                <w:b w:val="false"/>
                <w:sz w:val="26"/>
              </w:rPr>
              <w:t>mẫu đơn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sau: a) Đối với cơ sở bán lẻ thuốc: Tài liệu về địa điểm, khu vực bảo quản, trang thiết bị bảo quản, tài liệu chuyên môn kỹ thuật và nhân sự theo nguyên tắc Thực hành tốt cơ sở bán lẻ thuốc. b) Đối với cơ sở chuyên bán lẻ dược liệu, thuốc dược liệu, thuốc cổ truyền: Tài liệu chứng minh việc đáp ứng quy định tại khoản 5 Điều 31 của Nghị định 54/2017/NĐ-CP theo quy định của Bộ trưởng Bộ Y tế; (Yêu cầu đối với Tài liệu quy định tại điểm này phải được đóng dấu của cơ sở trên trang bìa ngoài và đóng dấu giáp lai đối với tất cả các trang còn lại của tài liệu kỹ thuật. Trường hợp cơ sở không có con dấu thì phải có chữ ký của người đại diện theo pháp luật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 1.000.000đ/cơ sở
- Thẩm định điều kiện, tiêu chuẩn bán lẻ thuốc (GPP) đối với cơ sở bán lẻ tại các địa bàn thuộc vùng khó khăn, miền núi, hải đảo: 500.000đ/cơ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2026-05-22T19:41:40Z</dcterms:created>
  <dc:creator>Apache POI</dc:creator>
</cp:coreProperties>
</file>