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dược theo hình thức thi trong trường hợp Chứng chỉ hành nghề dược bị ghi sai do lỗi cơ quan cấp Chứng chỉ hành nghề dược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cơ quan tiếp nhận hồ sơ, cụ thể như sau:
- Cục Quản lý Y Dược cổ truyền đối với cá nhân chỉ đề nghị cấp Chứng chỉ hành nghề dược phạm vi kinh doanh dược liệu, thuốc cổ truyền;
- Cục Khoa học công nghệ và Đào tạo đối với cá nhân chỉ đề nghị cấp Chứng chỉ hành nghề dược phạm vi kinh doanh dịch vụ thử thuốc trên lâm sàng, thử tương đương sinh học;
- Cục Quản lý Dược đối với các trường hợp còn lại quy định tại Điều 11 Luật dược.</w:t>
      </w:r>
    </w:p>
    <w:p>
      <w:pPr>
        <w:spacing w:after="0" w:before="0" w:lineRule="auto" w:line="276"/>
        <w:jc w:val="both"/>
      </w:pPr>
      <w:r>
        <w:rPr>
          <w:rFonts w:ascii="Times New Roman" w:hAnsi="Times New Roman" w:cs="Times New Roman" w:eastAsia="Times New Roman"/>
          <w:b w:val="false"/>
          <w:sz w:val="26"/>
        </w:rPr>
        <w:t>Bước 2: Sau khi nhận hồ sơ, cơ quan tiếp nhận hồ sơ cấp Chứng chỉ hành nghề dược trong thời hạn 05 ngày làm việc kể từ ngày ghi trên Phiếu tiếp nhận hồ sơ (Phiếu tiếp nhận hồ sơ theo Mẫu số 01 Phụ lục I Nghị định số 54/2017/NĐ-CP). Trường hợp không cấp Chứng chỉ hành nghề dược phải có văn bản trả lời và nêu rõ lý do.</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cấp Chứng chỉ hành nghề dược, cơ quan tiếp nhận hồ sơ công bố, cập nhật trên Cổng thông tin điện tử của đơn vị các thông tin sau:
a) Họ, tên, ngày tháng năm sinh của người được cấp Chứng chỉ hành nghề dược;
b) Số Chứng chỉ hành nghề dược;
c) Phạm vi hoạt động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dược thực hiện theo Mẫu số 02 Phụ lục I của Nghị định số 54/2017/NĐ-CP, 02 ảnh chân dung của người đề nghị cấp Chứng chỉ hành nghề dược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ND54_Mau 02_Phu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 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Dược/Cục Quản lý Y dược cổ truyền/Cục Khoa học công nghệ và Đào tạo, 138A Giảng Võ- Ba ĐÌnh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2026-04-29T23:11:55Z</dcterms:created>
  <dc:creator>Apache POI</dc:creator>
</cp:coreProperties>
</file>