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192/QĐ-BNNMT.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Thẻ hành nghề xử lý vật thể thuộc diện kiểm dịch thực vật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 và Bảo vệ thực vật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nộp 01 bộ hồ sơ đề nghị cấp lại Thẻ hành nghề xử lý vật thể thuộc diện kiểm dịch thực vật đến Cơ quan được Chủ tịch Ủy ban nhân dân cấp tỉnh giao tiếp nhận hồ sơ giải quyết thủ tục hành chính bằng hình thức trực tiếp hoặc môi trường mạng hoặc qua dịch vụ bưu chính.
Bước 2: Cơ quan được Chủ tịch Ủy ban nhân dân cấp tỉnh giao tiếp nhận hồ sơ giải quyết thủ tục hành chính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
Bước 3: Trong thời hạn 03 ngày làm việc kể từ ngày nhận đủ hồ sơ hợp lệ, Cơ quan chuyên môn được Chủ tịch Ủy ban nhân dân cấp tỉnh giao giải quyết thủ tục hành chính thẩm định, trình Chủ tịch Uỷ ban nhân dân cấp tỉnh xem xét, quyết định cấp lại Thẻ hành nghề xử lý vật thể thuộc diện kiểm dịch thực vật; trường hợp quyết định không cấp lại Thẻ hành nghề xử lý vật thể thuộc diện kiểm dịch thực vật thì trong thời hạn 01 ngày làm việc kể từ khi có ý kiến của Chủ tịch Uỷ ban nhân dân cấp tỉnh, Cơ quan chuyên môn được Chủ tịch Ủy ban nhân dân cấp tỉnh giao giải quyết thủ tục hành chính có văn bản thông báo và nêu rõ lý do cho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bằng hình thức trực tiếp hoặc môi trường mạng hoặc qua dịch vụ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bằng hình thức trực tiếp hoặc môi trường mạng hoặc qua dịch vụ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bằng hình thức trực tiếp hoặc môi trường mạng hoặc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thẻ hành nghề xử lý vật thể thuộc diện kiểm dịch thực vật (theo Mẫu số 35 Phụ lục I ban hành kèm theo Thông tư số 12/2025/TT-BNNMT)</w:t>
            </w:r>
          </w:p>
        </w:tc>
        <w:tc>
          <w:p/>
          <w:p>
            <w:pPr>
              <w:spacing w:after="0" w:before="0" w:lineRule="auto" w:line="276"/>
              <w:jc w:val="left"/>
            </w:pPr>
            <w:r>
              <w:rPr>
                <w:rFonts w:ascii="Times New Roman" w:hAnsi="Times New Roman" w:cs="Times New Roman" w:eastAsia="Times New Roman"/>
                <w:b w:val="false"/>
                <w:sz w:val="26"/>
              </w:rPr>
              <w:t>Mus35.docx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khám sức khoẻ do cơ quan y tế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cỡ 2 cm x 3 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hành nghề xử lý vật thể thuộc diện kiểm dịch thực vật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41/2013/QH13</w:t>
            </w:r>
          </w:p>
        </w:tc>
        <w:tc>
          <w:p/>
          <w:p>
            <w:pPr>
              <w:spacing w:after="0" w:before="0" w:lineRule="auto" w:line="276"/>
              <w:jc w:val="left"/>
            </w:pPr>
            <w:r>
              <w:rPr>
                <w:rFonts w:ascii="Times New Roman" w:hAnsi="Times New Roman" w:cs="Times New Roman" w:eastAsia="Times New Roman"/>
                <w:b w:val="false"/>
                <w:sz w:val="26"/>
              </w:rPr>
              <w:t>Bảo vệ và kiểm dịch thực vật</w:t>
            </w:r>
          </w:p>
        </w:tc>
        <w:tc>
          <w:p/>
          <w:p>
            <w:pPr>
              <w:spacing w:after="0" w:before="0" w:lineRule="auto" w:line="276"/>
              <w:jc w:val="left"/>
            </w:pPr>
            <w:r>
              <w:rPr>
                <w:rFonts w:ascii="Times New Roman" w:hAnsi="Times New Roman" w:cs="Times New Roman" w:eastAsia="Times New Roman"/>
                <w:b w:val="false"/>
                <w:sz w:val="26"/>
              </w:rPr>
              <w:t>25-11-2013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66/2016/NĐ-CP</w:t>
            </w:r>
          </w:p>
        </w:tc>
        <w:tc>
          <w:p/>
          <w:p>
            <w:pPr>
              <w:spacing w:after="0" w:before="0" w:lineRule="auto" w:line="276"/>
              <w:jc w:val="left"/>
            </w:pPr>
            <w:r>
              <w:rPr>
                <w:rFonts w:ascii="Times New Roman" w:hAnsi="Times New Roman" w:cs="Times New Roman" w:eastAsia="Times New Roman"/>
                <w:b w:val="false"/>
                <w:sz w:val="26"/>
              </w:rPr>
              <w:t>Nghị định 66/2016/NĐ-CP</w:t>
            </w:r>
          </w:p>
        </w:tc>
        <w:tc>
          <w:p/>
          <w:p>
            <w:pPr>
              <w:spacing w:after="0" w:before="0" w:lineRule="auto" w:line="276"/>
              <w:jc w:val="left"/>
            </w:pPr>
            <w:r>
              <w:rPr>
                <w:rFonts w:ascii="Times New Roman" w:hAnsi="Times New Roman" w:cs="Times New Roman" w:eastAsia="Times New Roman"/>
                <w:b w:val="false"/>
                <w:sz w:val="26"/>
              </w:rPr>
              <w:t>01-07-2016</w:t>
            </w:r>
          </w:p>
        </w:tc>
        <w:tc>
          <w:p/>
        </w:tc>
      </w:tr>
      <w:tr>
        <w:tc>
          <w:p/>
          <w:p>
            <w:pPr>
              <w:spacing w:after="0" w:before="0" w:lineRule="auto" w:line="276"/>
              <w:jc w:val="left"/>
            </w:pPr>
            <w:r>
              <w:rPr>
                <w:rFonts w:ascii="Times New Roman" w:hAnsi="Times New Roman" w:cs="Times New Roman" w:eastAsia="Times New Roman"/>
                <w:b w:val="false"/>
                <w:sz w:val="26"/>
              </w:rPr>
              <w:t>123/2018/NĐ-CP</w:t>
            </w:r>
          </w:p>
        </w:tc>
        <w:tc>
          <w:p/>
          <w:p>
            <w:pPr>
              <w:spacing w:after="0" w:before="0" w:lineRule="auto" w:line="276"/>
              <w:jc w:val="left"/>
            </w:pPr>
            <w:r>
              <w:rPr>
                <w:rFonts w:ascii="Times New Roman" w:hAnsi="Times New Roman" w:cs="Times New Roman" w:eastAsia="Times New Roman"/>
                <w:b w:val="false"/>
                <w:sz w:val="26"/>
              </w:rPr>
              <w:t>Nghị định 123/2018/NĐ-CP</w:t>
            </w:r>
          </w:p>
        </w:tc>
        <w:tc>
          <w:p/>
          <w:p>
            <w:pPr>
              <w:spacing w:after="0" w:before="0" w:lineRule="auto" w:line="276"/>
              <w:jc w:val="left"/>
            </w:pPr>
            <w:r>
              <w:rPr>
                <w:rFonts w:ascii="Times New Roman" w:hAnsi="Times New Roman" w:cs="Times New Roman" w:eastAsia="Times New Roman"/>
                <w:b w:val="false"/>
                <w:sz w:val="26"/>
              </w:rPr>
              <w:t>17-09-2018</w:t>
            </w:r>
          </w:p>
        </w:tc>
        <w:tc>
          <w:p/>
        </w:tc>
      </w:tr>
      <w:tr>
        <w:tc>
          <w:p/>
          <w:p>
            <w:pPr>
              <w:spacing w:after="0" w:before="0" w:lineRule="auto" w:line="276"/>
              <w:jc w:val="left"/>
            </w:pPr>
            <w:r>
              <w:rPr>
                <w:rFonts w:ascii="Times New Roman" w:hAnsi="Times New Roman" w:cs="Times New Roman" w:eastAsia="Times New Roman"/>
                <w:b w:val="false"/>
                <w:sz w:val="26"/>
              </w:rPr>
              <w:t>12/2025/TT-BNNMT</w:t>
            </w:r>
          </w:p>
        </w:tc>
        <w:tc>
          <w:p/>
          <w:p>
            <w:pPr>
              <w:spacing w:after="0" w:before="0" w:lineRule="auto" w:line="276"/>
              <w:jc w:val="left"/>
            </w:pPr>
            <w:r>
              <w:rPr>
                <w:rFonts w:ascii="Times New Roman" w:hAnsi="Times New Roman" w:cs="Times New Roman" w:eastAsia="Times New Roman"/>
                <w:b w:val="false"/>
                <w:sz w:val="26"/>
              </w:rPr>
              <w:t>12/2025/TT-BNNMT</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Thẻ hành nghề được cấp lại trong các trường hợp bị mất, sai sót, hư hỏng.
Điều kiện đối với cá nhân được cấp Thẻ hành nghề xử lý vật thể thuộc diện kiểm dịch thực vật: Đã được tập huấn và kiểm tra chuyên môn về xử lý vật thể thuộc diện kiểm dịch thực vật theo chương trình do cơ quan quản lý nhà nước chuyên ngành bảo vệ và kiểm dịch thực vật thuộc Bộ Nông nghiệp và Môi trường (Cục Trồng trọt và Bảo vệ thực vật) quy định; bảo đảm sức khỏe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2026-05-01T04:15:46Z</dcterms:created>
  <dc:creator>Apache POI</dc:creator>
</cp:coreProperties>
</file>