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(vận hành thiết bị chiếu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tiến hành công việc vận hành thiết bị chiếu xạ nộp hồ sơ cho Cục ATBXHN</w:t>
      </w:r>
    </w:p>
    <w:p>
      <w:pPr>
        <w:spacing w:after="0" w:before="0" w:lineRule="auto" w:line="276"/>
        <w:jc w:val="both"/>
      </w:pPr>
      <w:r>
        <w:rPr>
          <w:rFonts w:ascii="Times New Roman" w:hAnsi="Times New Roman" w:cs="Times New Roman" w:eastAsia="Times New Roman"/>
          <w:b w:val="false"/>
          <w:sz w:val="26"/>
        </w:rPr>
        <w:t>Bước 2:Cục ATBXHN  xem xét hồ sơ và tổ chức thẩm định:
+ Nếu đủ điều kiện theo quy định hiện hành, Cục ATBXHN trình Bộ Khoa học và Công nghệ cấp giấy phép tiến hành công việc bức xạ (vận hành thiết bị chiếu xạ).
+ Trong trường hợp không cấp giấy phép, Bộ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Bước 3: Bộ KHCN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30000000 Đồng</w:t>
              <w:t xml:space="preserve"> (Phí Thẩm định an toàn: Vận hành máy gia tốc dùng để chiếu xạ khử trùng, xử lý vật liệu)</w:t>
            </w:r>
          </w:p>
          <w:p>
            <w:pPr>
              <w:spacing w:after="0" w:before="0" w:lineRule="auto" w:line="276"/>
              <w:jc w:val="left"/>
            </w:pPr>
            <w:r>
              <w:rPr>
                <w:rFonts w:ascii="Times New Roman" w:hAnsi="Times New Roman" w:cs="Times New Roman" w:eastAsia="Times New Roman"/>
                <w:b w:val="false"/>
                <w:sz w:val="26"/>
              </w:rPr>
              <w:t>Phí : 35000000 Đồng</w:t>
              <w:t xml:space="preserve"> (Phí thẩm định an toàn: Thiết bị dùng nguồn phóng xạ)</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an toàn: Thiết bị xạ trị nông)</w:t>
            </w:r>
          </w:p>
          <w:p>
            <w:pPr>
              <w:spacing w:after="0" w:before="0" w:lineRule="auto" w:line="276"/>
              <w:jc w:val="left"/>
            </w:pPr>
            <w:r>
              <w:rPr>
                <w:rFonts w:ascii="Times New Roman" w:hAnsi="Times New Roman" w:cs="Times New Roman" w:eastAsia="Times New Roman"/>
                <w:b w:val="false"/>
                <w:sz w:val="26"/>
              </w:rPr>
              <w:t>Phí : 10000000 Đồng</w:t>
              <w:t xml:space="preserve"> (Phí thẩm định an toàn: Thiết bị xạ trị áp sát suất liều cao)</w:t>
            </w:r>
          </w:p>
          <w:p>
            <w:pPr>
              <w:spacing w:after="0" w:before="0" w:lineRule="auto" w:line="276"/>
              <w:jc w:val="left"/>
            </w:pPr>
            <w:r>
              <w:rPr>
                <w:rFonts w:ascii="Times New Roman" w:hAnsi="Times New Roman" w:cs="Times New Roman" w:eastAsia="Times New Roman"/>
                <w:b w:val="false"/>
                <w:sz w:val="26"/>
              </w:rPr>
              <w:t>Phí : 12000000 Đồng</w:t>
              <w:t xml:space="preserve"> (Phí thẩm định an toàn: Thiết bị xạ trị từ xa dùng nguồn phóng xạ)</w:t>
            </w:r>
          </w:p>
          <w:p>
            <w:pPr>
              <w:spacing w:after="0" w:before="0" w:lineRule="auto" w:line="276"/>
              <w:jc w:val="left"/>
            </w:pPr>
            <w:r>
              <w:rPr>
                <w:rFonts w:ascii="Times New Roman" w:hAnsi="Times New Roman" w:cs="Times New Roman" w:eastAsia="Times New Roman"/>
                <w:b w:val="false"/>
                <w:sz w:val="26"/>
              </w:rPr>
              <w:t xml:space="preserve">Phí : 15000000 </w:t>
              <w:t xml:space="preserve"> (Phí thẩm định an toàn: Máy gia tốc sử dụng trong xạ trị)</w:t>
            </w:r>
          </w:p>
          <w:p>
            <w:pPr>
              <w:spacing w:after="0" w:before="0" w:lineRule="auto" w:line="276"/>
              <w:jc w:val="left"/>
            </w:pPr>
            <w:r>
              <w:rPr>
                <w:rFonts w:ascii="Times New Roman" w:hAnsi="Times New Roman" w:cs="Times New Roman" w:eastAsia="Times New Roman"/>
                <w:b w:val="false"/>
                <w:sz w:val="26"/>
              </w:rPr>
              <w:t>Phí : 15000000 Đồng</w:t>
              <w:t xml:space="preserve"> (Phí thẩm định an toàn: Máy gia tốc sử dụng trong sản xuất chất phóng xạ và máy gia tốc khác)</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máy gia tốc, máy phát nơtron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máy gia tốc, máy phát nơtron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dịch vụ xác định liều chiếu xạ cá nhân với tổ chức, cá nhân được cấp giấy đăng ký hoạt động dịch vụ đo liều chiếu xạ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và nhân viên đảm nhiệm công việc được quy định tại khoản 1 Điều 28 Luật Năng lượng nguyên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(vận hành thiết bị chiếu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2026-05-13T13:53:07Z</dcterms:created>
  <dc:creator>Apache POI</dc:creator>
</cp:coreProperties>
</file>