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1.004529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2278/QĐ-BYT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Cho phép mua thuốc gây nghiện, thuốc hướng thần, thuốc tiền chất thuộc thẩm quyền của Sở Y tế</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Dược phẩm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Cơ sở đề nghị mua nộp hồ sơ tại Sở Y tế nơi cơ sở đặt trụ sở.</w:t>
      </w:r>
    </w:p>
    <w:p>
      <w:pPr>
        <w:spacing w:after="0" w:before="0" w:lineRule="auto" w:line="276"/>
        <w:jc w:val="both"/>
      </w:pPr>
      <w:r>
        <w:rPr>
          <w:rFonts w:ascii="Times New Roman" w:hAnsi="Times New Roman" w:cs="Times New Roman" w:eastAsia="Times New Roman"/>
          <w:b w:val="false"/>
          <w:sz w:val="26"/>
        </w:rPr>
        <w:t>Bước 2: Khi nhận hồ sơ đầy đủ, hợp lệ, Sở Y tế cấp cho cơ sở đề nghị Phiếu tiếp nhận hồ sơ theo Mẫu số 01 Phụ lục I của Nghị định số 54/2017/NĐ-CP.</w:t>
      </w:r>
    </w:p>
    <w:p>
      <w:pPr>
        <w:spacing w:after="0" w:before="0" w:lineRule="auto" w:line="276"/>
        <w:jc w:val="both"/>
      </w:pPr>
      <w:r>
        <w:rPr>
          <w:rFonts w:ascii="Times New Roman" w:hAnsi="Times New Roman" w:cs="Times New Roman" w:eastAsia="Times New Roman"/>
          <w:b w:val="false"/>
          <w:sz w:val="26"/>
        </w:rPr>
        <w:t>Trường hợp không có yêu cầu sửa đổi, bổ sung hồ sơ, Sở Y tế ký duyệt đơn hàng mua trong vòng 30 ngày kể từ ngày ghi trên Phiếu tiếp nhận hồ sơ.</w:t>
      </w:r>
    </w:p>
    <w:p>
      <w:pPr>
        <w:spacing w:after="0" w:before="0" w:lineRule="auto" w:line="276"/>
        <w:jc w:val="both"/>
      </w:pPr>
      <w:r>
        <w:rPr>
          <w:rFonts w:ascii="Times New Roman" w:hAnsi="Times New Roman" w:cs="Times New Roman" w:eastAsia="Times New Roman"/>
          <w:b w:val="false"/>
          <w:sz w:val="26"/>
        </w:rPr>
        <w:t>Trường hợp có yêu cầu sửa đổi, bổ sung hồ sơ, Sở Y tếcó văn bản yêu cầu sửa đổi, bổ sung hồ sơ trong thời hạn 30 ngày kể từ ngày ghi trên Phiếu tiếp nhận hồ sơ, trong đó phải nêu cụ thể các tài liệu, nội dung cần sửa đổi, bổ sung.</w:t>
      </w:r>
    </w:p>
    <w:p>
      <w:pPr>
        <w:spacing w:after="0" w:before="0" w:lineRule="auto" w:line="276"/>
        <w:jc w:val="both"/>
      </w:pPr>
      <w:r>
        <w:rPr>
          <w:rFonts w:ascii="Times New Roman" w:hAnsi="Times New Roman" w:cs="Times New Roman" w:eastAsia="Times New Roman"/>
          <w:b w:val="false"/>
          <w:sz w:val="26"/>
        </w:rPr>
        <w:t>Bước 3: Sau khi cơ sở nộp hồ sơ sửa đổi, bổ sung, Sở Y tế cấp cho cơ sở đề nghị Phiếu tiếp nhận hồ sơ sửa đổi, bổ sung theo Mẫu số 01 Phụ lục I của Nghị định số 54/2017/NĐ-CP</w:t>
      </w:r>
    </w:p>
    <w:p>
      <w:pPr>
        <w:spacing w:after="0" w:before="0" w:lineRule="auto" w:line="276"/>
        <w:jc w:val="both"/>
      </w:pPr>
      <w:r>
        <w:rPr>
          <w:rFonts w:ascii="Times New Roman" w:hAnsi="Times New Roman" w:cs="Times New Roman" w:eastAsia="Times New Roman"/>
          <w:b w:val="false"/>
          <w:sz w:val="26"/>
        </w:rPr>
        <w:t>Trường hợp không có yêu cầu sửa đổi, bổ sung hồ sơ, Sở Y tế ký duyệt đơn hàng mua trong vòng 30 ngày kể từ ngày ghi trên Phiếu tiếp nhận hồ sơ.</w:t>
      </w:r>
    </w:p>
    <w:p>
      <w:pPr>
        <w:spacing w:after="0" w:before="0" w:lineRule="auto" w:line="276"/>
        <w:jc w:val="both"/>
      </w:pPr>
      <w:r>
        <w:rPr>
          <w:rFonts w:ascii="Times New Roman" w:hAnsi="Times New Roman" w:cs="Times New Roman" w:eastAsia="Times New Roman"/>
          <w:b w:val="false"/>
          <w:sz w:val="26"/>
        </w:rPr>
        <w:t>Trường hợp có yêu cầu sửa đổi, bổ sung hồ sơ, Sở Y tế có văn bản yêu cầu sửa đổi, bổ sung hồ sơ trong thời hạn 30 ngày kể từ ngày ghi trên Phiếu tiếp nhận hồ sơ, trong đó phải nêu cụ thể các tài liệu, nội dung cần sửa đổi, bổ sung.</w:t>
      </w:r>
    </w:p>
    <w:p>
      <w:pPr>
        <w:spacing w:after="0" w:before="0" w:lineRule="auto" w:line="276"/>
        <w:jc w:val="both"/>
      </w:pPr>
      <w:r>
        <w:rPr>
          <w:rFonts w:ascii="Times New Roman" w:hAnsi="Times New Roman" w:cs="Times New Roman" w:eastAsia="Times New Roman"/>
          <w:b w:val="false"/>
          <w:sz w:val="26"/>
        </w:rPr>
        <w:t xml:space="preserve">Trong thời hạn 06 tháng, kể từ ngày Sở Y tế có văn bản thông báo sửa đổi, bổ sung, cơ sở đề nghị phải nộp hồ sơ sửa đổi, bổ sung theo yêu cầu. Sau thời hạn trên, cơ sở không sửa đổi, bổ sung hoặc sau 12 tháng kể từ ngày nộp hồ sơ lần đầu mà hồ sơ bổ sung không đáp ứng yêu cầu thì hồ sơ đã nộp không còn giá trị </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Sau 30 ngày làm việc kể từ ngày ghi trên Phiếu tiếp nhận hồ sơ</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Sau 30 ngày làm việc kể từ ngày ghi trên Phiếu tiếp nhận hồ sơ</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03 (ba) bản Đơn hàng mua thuốc theo Mẫu số 19 Phụ lục II tại Phụ lục II ban hành kèm theo Nghị định 155/2018/NĐ-CP.</w:t>
            </w:r>
          </w:p>
        </w:tc>
        <w:tc>
          <w:p/>
          <w:p>
            <w:pPr>
              <w:spacing w:after="0" w:before="0" w:lineRule="auto" w:line="276"/>
              <w:jc w:val="left"/>
            </w:pPr>
            <w:r>
              <w:rPr>
                <w:rFonts w:ascii="Times New Roman" w:hAnsi="Times New Roman" w:cs="Times New Roman" w:eastAsia="Times New Roman"/>
                <w:b w:val="false"/>
                <w:sz w:val="26"/>
              </w:rPr>
              <w:t>ND54_Mau 19_Phụ lục II PLII.docx</w:t>
            </w:r>
          </w:p>
        </w:tc>
        <w:tc>
          <w:p/>
          <w:p>
            <w:pPr>
              <w:spacing w:after="0" w:before="0" w:lineRule="auto" w:line="276"/>
              <w:jc w:val="left"/>
            </w:pPr>
            <w:r>
              <w:rPr>
                <w:rFonts w:ascii="Times New Roman" w:hAnsi="Times New Roman" w:cs="Times New Roman" w:eastAsia="Times New Roman"/>
                <w:b w:val="false"/>
                <w:sz w:val="26"/>
              </w:rPr>
              <w:t xml:space="preserve">Bản chính: </w:t>
              <w:t>3</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giải thích rõ lý do khi số lượng thuốc đề nghị mua vượt quá 150% so với số lượng sử dụng lần trước.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Y tế</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Phiếu tiếp nhận hồ sơ</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20/2017/TT-BYT</w:t>
            </w:r>
          </w:p>
        </w:tc>
        <w:tc>
          <w:p/>
          <w:p>
            <w:pPr>
              <w:spacing w:after="0" w:before="0" w:lineRule="auto" w:line="276"/>
              <w:jc w:val="left"/>
            </w:pPr>
            <w:r>
              <w:rPr>
                <w:rFonts w:ascii="Times New Roman" w:hAnsi="Times New Roman" w:cs="Times New Roman" w:eastAsia="Times New Roman"/>
                <w:b w:val="false"/>
                <w:sz w:val="26"/>
              </w:rPr>
              <w:t>Thông tư 20/2017/TT-BYT - Quy định chi tiết một số điều của Luật dược và Nghị định số 54/2017/NĐ-CP ngày 08 tháng 5 năm 2017 của Chính phủ về thuốc và nguyên liệu làm thuốc phải kiểm soát đặc biệt</w:t>
            </w:r>
          </w:p>
        </w:tc>
        <w:tc>
          <w:p/>
          <w:p>
            <w:pPr>
              <w:spacing w:after="0" w:before="0" w:lineRule="auto" w:line="276"/>
              <w:jc w:val="left"/>
            </w:pPr>
            <w:r>
              <w:rPr>
                <w:rFonts w:ascii="Times New Roman" w:hAnsi="Times New Roman" w:cs="Times New Roman" w:eastAsia="Times New Roman"/>
                <w:b w:val="false"/>
                <w:sz w:val="26"/>
              </w:rPr>
              <w:t>10-05-2017</w:t>
            </w:r>
          </w:p>
        </w:tc>
        <w:tc>
          <w:p/>
          <w:p>
            <w:pPr>
              <w:spacing w:after="0" w:before="0" w:lineRule="auto" w:line="276"/>
              <w:jc w:val="left"/>
            </w:pPr>
            <w:r>
              <w:rPr>
                <w:rFonts w:ascii="Times New Roman" w:hAnsi="Times New Roman" w:cs="Times New Roman" w:eastAsia="Times New Roman"/>
                <w:b w:val="false"/>
                <w:sz w:val="26"/>
              </w:rPr>
              <w:t>Bộ Y tế</w:t>
            </w:r>
          </w:p>
        </w:tc>
      </w:tr>
      <w:tr>
        <w:tc>
          <w:p/>
          <w:p>
            <w:pPr>
              <w:spacing w:after="0" w:before="0" w:lineRule="auto" w:line="276"/>
              <w:jc w:val="left"/>
            </w:pPr>
            <w:r>
              <w:rPr>
                <w:rFonts w:ascii="Times New Roman" w:hAnsi="Times New Roman" w:cs="Times New Roman" w:eastAsia="Times New Roman"/>
                <w:b w:val="false"/>
                <w:sz w:val="26"/>
              </w:rPr>
              <w:t>155/2018/NĐ-CP</w:t>
            </w:r>
          </w:p>
        </w:tc>
        <w:tc>
          <w:p/>
          <w:p>
            <w:pPr>
              <w:spacing w:after="0" w:before="0" w:lineRule="auto" w:line="276"/>
              <w:jc w:val="left"/>
            </w:pPr>
            <w:r>
              <w:rPr>
                <w:rFonts w:ascii="Times New Roman" w:hAnsi="Times New Roman" w:cs="Times New Roman" w:eastAsia="Times New Roman"/>
                <w:b w:val="false"/>
                <w:sz w:val="26"/>
              </w:rPr>
              <w:t>Nghị định 155/2018/NĐ-CP Sửa đổi, bổ sung một số quy định liên quan đến điều kiện đầu tư kinh doanh thuộc phạm vi quản lý nhà nước của Bộ Y tế</w:t>
            </w:r>
          </w:p>
        </w:tc>
        <w:tc>
          <w:p/>
          <w:p>
            <w:pPr>
              <w:spacing w:after="0" w:before="0" w:lineRule="auto" w:line="276"/>
              <w:jc w:val="left"/>
            </w:pPr>
            <w:r>
              <w:rPr>
                <w:rFonts w:ascii="Times New Roman" w:hAnsi="Times New Roman" w:cs="Times New Roman" w:eastAsia="Times New Roman"/>
                <w:b w:val="false"/>
                <w:sz w:val="26"/>
              </w:rPr>
              <w:t>12-11-2018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105/2016/QH13</w:t>
            </w:r>
          </w:p>
        </w:tc>
        <w:tc>
          <w:p/>
          <w:p>
            <w:pPr>
              <w:spacing w:after="0" w:before="0" w:lineRule="auto" w:line="276"/>
              <w:jc w:val="left"/>
            </w:pPr>
            <w:r>
              <w:rPr>
                <w:rFonts w:ascii="Times New Roman" w:hAnsi="Times New Roman" w:cs="Times New Roman" w:eastAsia="Times New Roman"/>
                <w:b w:val="false"/>
                <w:sz w:val="26"/>
              </w:rPr>
              <w:t>Luật 105/2016/QH13 Dược</w:t>
            </w:r>
          </w:p>
        </w:tc>
        <w:tc>
          <w:p/>
          <w:p>
            <w:pPr>
              <w:spacing w:after="0" w:before="0" w:lineRule="auto" w:line="276"/>
              <w:jc w:val="left"/>
            </w:pPr>
            <w:r>
              <w:rPr>
                <w:rFonts w:ascii="Times New Roman" w:hAnsi="Times New Roman" w:cs="Times New Roman" w:eastAsia="Times New Roman"/>
                <w:b w:val="false"/>
                <w:sz w:val="26"/>
              </w:rPr>
              <w:t>06-04-2016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54/2017/NĐ-CP</w:t>
            </w:r>
          </w:p>
        </w:tc>
        <w:tc>
          <w:p/>
          <w:p>
            <w:pPr>
              <w:spacing w:after="0" w:before="0" w:lineRule="auto" w:line="276"/>
              <w:jc w:val="left"/>
            </w:pPr>
            <w:r>
              <w:rPr>
                <w:rFonts w:ascii="Times New Roman" w:hAnsi="Times New Roman" w:cs="Times New Roman" w:eastAsia="Times New Roman"/>
                <w:b w:val="false"/>
                <w:sz w:val="26"/>
              </w:rPr>
              <w:t>Nghị định 54/2017/NĐ-CP Quy định chi tiết một số điều và biện pháp thi hành Luật dược</w:t>
            </w:r>
          </w:p>
        </w:tc>
        <w:tc>
          <w:p/>
          <w:p>
            <w:pPr>
              <w:spacing w:after="0" w:before="0" w:lineRule="auto" w:line="276"/>
              <w:jc w:val="left"/>
            </w:pPr>
            <w:r>
              <w:rPr>
                <w:rFonts w:ascii="Times New Roman" w:hAnsi="Times New Roman" w:cs="Times New Roman" w:eastAsia="Times New Roman"/>
                <w:b w:val="false"/>
                <w:sz w:val="26"/>
              </w:rPr>
              <w:t>08-05-2017</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Cơ sở có Giấy chứng nhận đủ điều kiện kinh doanh dược phạm vi bán buôn, bán lẻ thuốc gây nghiện, thuốc hướng thần, thuốc tiền chất: áp dụng đối với trường hợp mua thuốc gây nghiện, thuốc hướng thần, thuốc tiền chất.
- Các cơ sở khám bệnh, chữa bệnh tư nhân, cơ sở cai nghiện bắt buộc, cơ sở điều trị nghiện chất dạng thuốc phiện bằng thuốc thay thế, cơ sở nghiên cứu, kiểm nghiệm, cơ sở đào tạo chuyên ngành y dược, cơ sở có hoạt động dược không vì mục đích thương mại khác không thuộc Bộ Quốc phòng: áp dụng đối với trường hợp mua thuốc gây nghiện, thuốc hướng thần, thuốc tiền chất, thuốc dạng phối hợp có chứa tiền chất.</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2026-05-22T15:37:55Z</dcterms:created>
  <dc:creator>Apache POI</dc:creator>
</cp:coreProperties>
</file>