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hủy thuốc gây nghiện, thuốc hướng thần, thuốc tiền chất, nguyên liệu làm thuốc là dược chất gây nghiện, dược chất hướng thần, tiền chất dùng làm thuốc thuộc thẩm quyền Sở Y tế (Áp dụng với cơ sở có sử dụng, kinh doanh thuốc gây nghiện, thuốc hướng thần, thuốc tiền chất, nguyên liệu làm thuốc là dược chất gây nghiện, dược chất hướng thần, tiền chất dùng làm thuốc trừ cơ sở sản xuất, xuất khẩu,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muốn hủy thuốc gây nghiện, thuốc hướng thần, thuốc tiền chất, nguyên liệu làm thuốc là dược chất gây nghiện, dược chất hướng thần, tiền chất dùng làm thuốc gửi văn bản đề nghị hủy thuốc, nguyên liệu làm thuốc tại Sở Y tế nơi cơ sở đặt trụ sở;</w:t>
      </w:r>
    </w:p>
    <w:p>
      <w:pPr>
        <w:spacing w:after="0" w:before="0" w:lineRule="auto" w:line="276"/>
        <w:jc w:val="both"/>
      </w:pPr>
      <w:r>
        <w:rPr>
          <w:rFonts w:ascii="Times New Roman" w:hAnsi="Times New Roman" w:cs="Times New Roman" w:eastAsia="Times New Roman"/>
          <w:b w:val="false"/>
          <w:sz w:val="26"/>
        </w:rPr>
        <w:t>Bước 2: Khi nhận hồ sơ, Sở Y tế cấp cho cơ sở đề nghị hủy Phiếu tiếp nhận hồ sơ theo Mẫu số 01 Phụ lục I của Nghị định số 54/2017/NĐ-CP.</w:t>
      </w:r>
    </w:p>
    <w:p>
      <w:pPr>
        <w:spacing w:after="0" w:before="0" w:lineRule="auto" w:line="276"/>
        <w:jc w:val="both"/>
      </w:pPr>
      <w:r>
        <w:rPr>
          <w:rFonts w:ascii="Times New Roman" w:hAnsi="Times New Roman" w:cs="Times New Roman" w:eastAsia="Times New Roman"/>
          <w:b w:val="false"/>
          <w:sz w:val="26"/>
        </w:rPr>
        <w:t>Trường hợp không có yêu cầu sửa đổi, bổ sung, Sở Y tế có công văn cho phép hủy trong thời hạn 20 ngày kể từ ngày ghi trên Phiếu tiếp nhận hồ sơ</w:t>
      </w:r>
    </w:p>
    <w:p>
      <w:pPr>
        <w:spacing w:after="0" w:before="0" w:lineRule="auto" w:line="276"/>
        <w:jc w:val="both"/>
      </w:pPr>
      <w:r>
        <w:rPr>
          <w:rFonts w:ascii="Times New Roman" w:hAnsi="Times New Roman" w:cs="Times New Roman" w:eastAsia="Times New Roman"/>
          <w:b w:val="false"/>
          <w:sz w:val="26"/>
        </w:rPr>
        <w:t>Trường hợp có yêu cầu sửa đổi, bổ sung, Sở Y tế có văn bản yêu cầu sửa đổi, bổ sung hồ sơ xin hủy trong thời hạn 20 ngày kể từ ngày ghi trên Phiếu tiếp nhận hồ sơ,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 xml:space="preserve">Bước 3: Trả kết quả cho đơn vị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hủy thuốc gây nghiện, thuốc hướng thần, thuốc tiền chất, nguyên liệu làm thuốc là dược chất gây nghiện, dược chất hướng thần, tiền chất dùng làm thuốc, trong đó ghi rõ: - Tên thuốc, nguyên liệu làm thuốc - Nồng độ, hàm lượng. - Số lượng - Lý do xin hủy - Phương pháp hủy.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20/2017/TT-BYT</w:t>
            </w:r>
          </w:p>
        </w:tc>
        <w:tc>
          <w:p/>
          <w:p>
            <w:pPr>
              <w:spacing w:after="0" w:before="0" w:lineRule="auto" w:line="276"/>
              <w:jc w:val="left"/>
            </w:pPr>
            <w:r>
              <w:rPr>
                <w:rFonts w:ascii="Times New Roman" w:hAnsi="Times New Roman" w:cs="Times New Roman" w:eastAsia="Times New Roman"/>
                <w:b w:val="false"/>
                <w:sz w:val="26"/>
              </w:rPr>
              <w:t>Thông tư 20/2017/TT-BYT - Quy định chi tiết một số điều của Luật dược và Nghị định số 54/2017/NĐ-CP ngày 08 tháng 5 năm 2017 của Chính phủ về thuốc và nguyên liệu làm thuốc phải kiểm soát đặc biệt</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có Giấy chứng nhận đủ điều kiện kinh doanh dược phạm vi bán buôn, bán lẻ thuốc gây nghiện, thuốc hướng thần, thuốc tiền chất; Các cơ sở khám bệnh, chữa bệnh, cơ sở cai nghiện bắt buộc, cơ sở nghiên cứu, đào tạo chuyên ngành y dược, cơ sở có hoạt động dược không vì mục đích thương mại khác không thuộc Bộ Quốc phòng.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2026-05-22T15:37:55Z</dcterms:created>
  <dc:creator>Apache POI</dc:creator>
</cp:coreProperties>
</file>