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hạng cơ sở lưu trú du lịch: hạng 1 sao, 2 sao, 3 sao đối với khách sạn, biệt thự du lịch, căn hộ du lịch, tàu thủy lưu trú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kinh doanh dịch vụ lưu trú du lịch được tự nguyện đăng ký xếp hạng cơ sở lưu trú du lịch với cơ quan nhà nước có thẩm quyền.</w:t>
      </w:r>
    </w:p>
    <w:p>
      <w:pPr>
        <w:spacing w:after="0" w:before="0" w:lineRule="auto" w:line="276"/>
        <w:jc w:val="both"/>
      </w:pPr>
      <w:r>
        <w:rPr>
          <w:rFonts w:ascii="Times New Roman" w:hAnsi="Times New Roman" w:cs="Times New Roman" w:eastAsia="Times New Roman"/>
          <w:b w:val="false"/>
          <w:sz w:val="26"/>
        </w:rPr>
        <w:t>- Tổ chức, cá nhân kinh doanh dịch vụ lưu trú du lịch nộp hồ sơ đến Sở Du lịch/Sở Văn hóa, Thể thao và Du lịch. Trường hợp hồ sơ không hợp lệ, trong thời hạn 03 ngày làm việc kể từ ngày nhận được hồ sơ, Sở Du lịch/Sở Văn hóa, Thể thao và Du lịch phải thông báo bằng văn bản và nêu rõ yêu cầu sửa đổi, bổ sung;</w:t>
      </w:r>
    </w:p>
    <w:p>
      <w:pPr>
        <w:spacing w:after="0" w:before="0" w:lineRule="auto" w:line="276"/>
        <w:jc w:val="both"/>
      </w:pPr>
      <w:r>
        <w:rPr>
          <w:rFonts w:ascii="Times New Roman" w:hAnsi="Times New Roman" w:cs="Times New Roman" w:eastAsia="Times New Roman"/>
          <w:b w:val="false"/>
          <w:sz w:val="26"/>
        </w:rPr>
        <w:t xml:space="preserve">- Trong thời hạn 30 ngày kể từ ngày nhận được hồ sơ hợp lệ, Sở Du lịch/Sở Văn hóa, Thể thao và Du lịch chủ trì, phối hợp với tổ chức xã hội - nghề nghiệp về du lịch thẩm định và ra quyết định công nhận hạng cơ sở lưu trú du lịch; trường hợp không công nhận, phải thông báo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1.400.000 Đồng</w:t>
              <w:t xml:space="preserve"> (Đối với hồ sơ đề nghị công nhận hạng 3 sao)</w:t>
            </w:r>
          </w:p>
          <w:p>
            <w:pPr>
              <w:spacing w:after="0" w:before="0" w:lineRule="auto" w:line="276"/>
              <w:jc w:val="left"/>
            </w:pPr>
            <w:r>
              <w:rPr>
                <w:rFonts w:ascii="Times New Roman" w:hAnsi="Times New Roman" w:cs="Times New Roman" w:eastAsia="Times New Roman"/>
                <w:b w:val="false"/>
                <w:sz w:val="26"/>
              </w:rPr>
              <w:t>Phí : 1.000.000 Đồng</w:t>
              <w:t xml:space="preserve"> (Đối với hồ sơ đề nghị công nhận hạng 1 sao, 2 sao)</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hồ sơ hợp lệ, Sở Du lịch/Sở Văn hóa, Thể thao và Du lịch chủ trì, phối hợp với tổ chức xã hội - nghề nghiệp về du lịch thẩm định và ra quyết định công nhận hạng cơ sở lưu trú du lịch; trường hợp không công nhận,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(Đối với hồ sơ đề nghị công nhận hạng 1 sao, 2 sao)</w:t>
            </w:r>
          </w:p>
          <w:p>
            <w:pPr>
              <w:spacing w:after="0" w:before="0" w:lineRule="auto" w:line="276"/>
              <w:jc w:val="left"/>
            </w:pPr>
            <w:r>
              <w:rPr>
                <w:rFonts w:ascii="Times New Roman" w:hAnsi="Times New Roman" w:cs="Times New Roman" w:eastAsia="Times New Roman"/>
                <w:b w:val="false"/>
                <w:sz w:val="26"/>
              </w:rPr>
              <w:t>Phí : 1.400.000 Đồng</w:t>
              <w:t xml:space="preserve"> (Đối với hồ sơ đề nghị công nhận hạng 3 sao)</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hồ sơ hợp lệ, Sở Du lịch/Sở Văn hóa, Thể thao và Du lịch chủ trì, phối hợp với tổ chức xã hội - nghề nghiệp về du lịch thẩm định và ra quyết định công nhận hạng cơ sở lưu trú du lịch; trường hợp không công nhận,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(Đối với hồ sơ đề nghị công nhận hạng 1 sao, 2 sao)</w:t>
            </w:r>
          </w:p>
          <w:p>
            <w:pPr>
              <w:spacing w:after="0" w:before="0" w:lineRule="auto" w:line="276"/>
              <w:jc w:val="left"/>
            </w:pPr>
            <w:r>
              <w:rPr>
                <w:rFonts w:ascii="Times New Roman" w:hAnsi="Times New Roman" w:cs="Times New Roman" w:eastAsia="Times New Roman"/>
                <w:b w:val="false"/>
                <w:sz w:val="26"/>
              </w:rPr>
              <w:t>Phí : 1.400.000 Đồng</w:t>
              <w:t xml:space="preserve"> (Đối với hồ sơ đề nghị công nhận hạng 3 sao)</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hồ sơ hợp lệ, Sở Du lịch/Sở Văn hóa, Thể thao và Du lịch chủ trì, phối hợp với tổ chức xã hội - nghề nghiệp về du lịch thẩm định và ra quyết định công nhận hạng cơ sở lưu trú du lịch; trường hợp không công nhận,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công nhận hạng cơ sở lưu trú du lịch (Mẫu số 07 Phụ lục II ban hành kèm theo Thông tư số 06/2017/TT-BVHTTDL ngày 15 tháng 12 năm 2017)</w:t>
            </w:r>
          </w:p>
        </w:tc>
        <w:tc>
          <w:p/>
          <w:p>
            <w:pPr>
              <w:spacing w:after="0" w:before="0" w:lineRule="auto" w:line="276"/>
              <w:jc w:val="left"/>
            </w:pPr>
            <w:r>
              <w:rPr>
                <w:rFonts w:ascii="Times New Roman" w:hAnsi="Times New Roman" w:cs="Times New Roman" w:eastAsia="Times New Roman"/>
                <w:b w:val="false"/>
                <w:sz w:val="26"/>
              </w:rPr>
              <w:t>Mẫu số 07.TT062017.docx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tự đánh giá chất lượng của cơ sở lưu trú du lịch theo quy định trong tiêu chuẩn quốc gia về xếp hạng cơ sở lưu trú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người quản lý và nhân viên trong cơ sở lưu trú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có chứng thực văn bằng, chứng chỉ, giấy chứng nhận bồi dưỡng nghiệp vụ và giấy chứng nhận thời gian làm việc trong lĩnh vực du lịch của người quản lý, trưởng bộ phận trong cơ sở lưu trú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hạng cơ sở lưu trú du lịch: hạng 1 sao, 2 sao, 3 sao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2026-05-21T16:39:28Z</dcterms:created>
  <dc:creator>Apache POI</dc:creator>
</cp:coreProperties>
</file>