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dược chất, bán thành phẩm thuốc, dược liệu, bán thành phẩm dược liệu để làm mẫu kiểm nghiệm, nghiên cứu thuốc,trừ nguyên liệu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Cơ sở đề nghị cấp phép nhập khẩu nộp hồ sơ nhập khẩu dược chất, bán thành phẩm thuốc, bán thành phẩm dược liệu trực tuyến tại trang dichvucongtructuyen.dav.gov.vn.
- Cơ sở đề nghị cấp phép nhập khầu nộp hồ sơ nhập khẩu dược liệu tại Cục Quản lý Y, Dược cổ truyền.</w:t>
      </w:r>
    </w:p>
    <w:p>
      <w:pPr>
        <w:spacing w:after="0" w:before="0" w:lineRule="auto" w:line="276"/>
        <w:jc w:val="both"/>
      </w:pPr>
      <w:r>
        <w:rPr>
          <w:rFonts w:ascii="Times New Roman" w:hAnsi="Times New Roman" w:cs="Times New Roman" w:eastAsia="Times New Roman"/>
          <w:b w:val="false"/>
          <w:sz w:val="26"/>
        </w:rPr>
        <w:t>Bước 2: Trường hợp không có yêu cầu sửa đổi, bổ sung hồ sơ, kể từ ngày ghi trên Phiếu tiếp nhận hồ sơ,trong thời hạn 15 (mười lăm) ngày, Bộ Y tế cấp phép nhập khẩu. Trường hợp có yêu cầu sửa đổi, bổ sung hồ sơ, kể từ ngày ghi trên Phiếu tiếp nhận hồ sơ, trong thời hạn 15 (mười lăm) ngày, Bộ Y tế gửi văn bản cho cơ sở để yêu cầu sửa đổi, bổ sung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nhập khẩu theo quy định tại bước 3.
Trong thời hạn 06 (sáu) tháng, kể từ ngày Bộ Y tế có văn bản thông báo sửa đổi, bổ sung, cơ sở đề nghị cấp phép nhập khẩu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36   Phụ lục III tại của Nghị định số 155/2018/NĐ-CP đối với dược chất, bán thành phẩm thuốc</w:t>
            </w:r>
          </w:p>
        </w:tc>
        <w:tc>
          <w:p/>
          <w:p>
            <w:pPr>
              <w:spacing w:after="0" w:before="0" w:lineRule="auto" w:line="276"/>
              <w:jc w:val="left"/>
            </w:pPr>
            <w:r>
              <w:rPr>
                <w:rFonts w:ascii="Times New Roman" w:hAnsi="Times New Roman" w:cs="Times New Roman" w:eastAsia="Times New Roman"/>
                <w:b w:val="false"/>
                <w:sz w:val="26"/>
              </w:rPr>
              <w:t>Mẫu số 36 PL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số 41 Phụ lục III của Nghị định số 155/2018/NĐ-CP đối với dược liệu, bán thành phẩm dược liệu</w:t>
            </w:r>
          </w:p>
        </w:tc>
        <w:tc>
          <w:p/>
          <w:p>
            <w:pPr>
              <w:spacing w:after="0" w:before="0" w:lineRule="auto" w:line="276"/>
              <w:jc w:val="left"/>
            </w:pPr>
            <w:r>
              <w:rPr>
                <w:rFonts w:ascii="Times New Roman" w:hAnsi="Times New Roman" w:cs="Times New Roman" w:eastAsia="Times New Roman"/>
                <w:b w:val="false"/>
                <w:sz w:val="26"/>
              </w:rPr>
              <w:t>Mẫu số 41 PL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Dược/Cục Quản lý Y, Dược cổ truyền - Bộ Y tế, 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Dược chất, bán thành phẩm thuốc, dược liệu, bán thành phẩm dược liệuchưa có giấy đăng ký lưu hành tại Việt Nam được cấp phép nhập khẩu khi thuộc một trong các trường hợp sau:
a) Sử dụng trong kiểm nghiệm, nghiên cứu tại các cơ sở sản xuất hoặc cơ sở kiểm nghiệm thuốc, nguyên liệu làm thuốc;
b) Sử dụng trong các nghiên cứu khoa học khác đã được cấp có thẩm quyền phê duyệt.
2. Cơ sở nhập khẩu là một trong các cơ sở sau:
a) Cơ sở đã được cấp Giấy chứng nhận đủ điều kiện kinh doanh dược, phạm vi: xuất khẩu, nhập khẩu nguyên liệu làm thuốc hoặc sản xuất thuốc.
b) Cơ sở đào tạo y, dược, cơ sở nghiên cứu, kiểm nghiệm thuốc.
c) Văn phòng đại diện tại Việt Nam của cơ sở sản xuất, cơ sở đứng tên đăng ký, cơ sở sở hữu giấy phép lưu hành của thuốc thử lâm sàng, thuốc đánh giá sinh khả dụng, thử tương đương sinh học;
d) Cơ sở nhận thử thuốc lâm sàng, cơ sở nhận đánh giá sinh khả dụng, thử tương đương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2026-05-26T18:45:03Z</dcterms:created>
  <dc:creator>Apache POI</dc:creator>
</cp:coreProperties>
</file>